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"/>
        <w:rPr>
          <w:rFonts w:ascii="Times New Roman" w:hAnsi="Times New Roman"/>
          <w:sz w:val="13"/>
          <w:szCs w:val="13"/>
        </w:rPr>
      </w:pPr>
    </w:p>
    <w:p>
      <w:pPr>
        <w:pStyle w:val="3"/>
        <w:spacing w:before="45" w:line="408" w:lineRule="auto"/>
        <w:ind w:left="120" w:right="114" w:firstLine="420"/>
        <w:rPr>
          <w:rFonts w:hint="eastAsia"/>
          <w:lang w:eastAsia="zh-CN"/>
        </w:rPr>
      </w:pPr>
      <w:bookmarkStart w:id="0" w:name="悦读书社DIY研读课程大纲"/>
      <w:bookmarkEnd w:id="0"/>
    </w:p>
    <w:p>
      <w:pPr>
        <w:pStyle w:val="15"/>
        <w:keepNext w:val="0"/>
        <w:keepLines w:val="0"/>
        <w:widowControl/>
        <w:suppressLineNumbers w:val="0"/>
      </w:pPr>
      <w:r>
        <w:rPr>
          <w:rFonts w:hint="eastAsia" w:ascii="宋体" w:hAnsi="宋体" w:cs="宋体"/>
          <w:b/>
          <w:bCs/>
          <w:spacing w:val="1"/>
          <w:sz w:val="28"/>
          <w:szCs w:val="28"/>
          <w:lang w:eastAsia="zh-CN"/>
        </w:rPr>
        <w:t>媒介</w:t>
      </w:r>
      <w:r>
        <w:rPr>
          <w:rFonts w:hint="eastAsia" w:ascii="宋体" w:hAnsi="宋体" w:cs="宋体"/>
          <w:b/>
          <w:bCs/>
          <w:spacing w:val="1"/>
          <w:sz w:val="28"/>
          <w:szCs w:val="28"/>
          <w:lang w:val="en-US" w:eastAsia="zh-CN"/>
        </w:rPr>
        <w:t>文化经典论著</w:t>
      </w:r>
      <w:r>
        <w:rPr>
          <w:rFonts w:hint="eastAsia" w:ascii="宋体" w:hAnsi="宋体" w:cs="宋体"/>
          <w:b/>
          <w:bCs/>
          <w:spacing w:val="1"/>
          <w:sz w:val="28"/>
          <w:szCs w:val="28"/>
          <w:lang w:eastAsia="zh-CN"/>
        </w:rPr>
        <w:t>导读</w:t>
      </w:r>
      <w:r>
        <w:rPr>
          <w:rFonts w:hint="default" w:ascii="宋体" w:hAnsi="宋体" w:cs="宋体"/>
          <w:b/>
          <w:bCs/>
          <w:spacing w:val="1"/>
          <w:sz w:val="28"/>
          <w:szCs w:val="28"/>
          <w:lang w:eastAsia="zh-CN"/>
        </w:rPr>
        <w:t xml:space="preserve"> / </w:t>
      </w:r>
      <w:r>
        <w:t xml:space="preserve">Introduction to </w:t>
      </w:r>
      <w:r>
        <w:t>C</w:t>
      </w:r>
      <w:r>
        <w:t xml:space="preserve">lassic </w:t>
      </w:r>
      <w:r>
        <w:t>W</w:t>
      </w:r>
      <w:r>
        <w:t xml:space="preserve">orks of </w:t>
      </w:r>
      <w:r>
        <w:t>M</w:t>
      </w:r>
      <w:r>
        <w:t xml:space="preserve">edia </w:t>
      </w:r>
      <w:r>
        <w:t>C</w:t>
      </w:r>
      <w:r>
        <w:t>ulture</w:t>
      </w:r>
    </w:p>
    <w:p>
      <w:pPr>
        <w:spacing w:before="13"/>
        <w:ind w:right="100"/>
        <w:jc w:val="center"/>
        <w:rPr>
          <w:rFonts w:ascii="宋体" w:cs="宋体"/>
          <w:b/>
          <w:bCs/>
          <w:spacing w:val="1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ind w:leftChars="0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任课教师：胡翼青 南京大学新闻传播学院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基本信息：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ind w:firstLine="440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default" w:ascii="宋体" w:hAnsi="宋体" w:eastAsia="宋体" w:cs="宋体"/>
          <w:b w:val="0"/>
          <w:bCs w:val="0"/>
          <w:lang w:eastAsia="zh-CN"/>
        </w:rPr>
        <w:t>课程名称：</w:t>
      </w:r>
      <w:r>
        <w:rPr>
          <w:rFonts w:hint="default" w:ascii="宋体" w:hAnsi="宋体" w:eastAsia="宋体" w:cs="宋体"/>
          <w:b/>
          <w:bCs/>
          <w:lang w:eastAsia="zh-CN"/>
        </w:rPr>
        <w:t>媒介文化经典论著导读 / Introduction to Classic Works of Media Culture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ind w:firstLine="44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开课时间：20</w:t>
      </w:r>
      <w:r>
        <w:rPr>
          <w:rFonts w:hint="default" w:ascii="宋体" w:hAnsi="宋体" w:eastAsia="宋体" w:cs="宋体"/>
          <w:lang w:eastAsia="zh-CN"/>
        </w:rPr>
        <w:t>19</w:t>
      </w:r>
      <w:r>
        <w:rPr>
          <w:rFonts w:hint="eastAsia" w:ascii="宋体" w:hAnsi="宋体" w:eastAsia="宋体" w:cs="宋体"/>
          <w:lang w:val="en-US" w:eastAsia="zh-CN"/>
        </w:rPr>
        <w:t>-20</w:t>
      </w:r>
      <w:r>
        <w:rPr>
          <w:rFonts w:hint="default" w:ascii="宋体" w:hAnsi="宋体" w:eastAsia="宋体" w:cs="宋体"/>
          <w:lang w:eastAsia="zh-CN"/>
        </w:rPr>
        <w:t>20</w:t>
      </w:r>
      <w:r>
        <w:rPr>
          <w:rFonts w:hint="eastAsia" w:ascii="宋体" w:hAnsi="宋体" w:eastAsia="宋体" w:cs="宋体"/>
          <w:lang w:val="en-US" w:eastAsia="zh-CN"/>
        </w:rPr>
        <w:t xml:space="preserve"> 学年第二学期，周四晚9-11节课，</w:t>
      </w:r>
      <w:r>
        <w:rPr>
          <w:rFonts w:hint="default" w:ascii="宋体" w:hAnsi="宋体" w:eastAsia="宋体" w:cs="宋体"/>
          <w:lang w:eastAsia="zh-CN"/>
        </w:rPr>
        <w:t>10-</w:t>
      </w:r>
      <w:r>
        <w:rPr>
          <w:rFonts w:hint="eastAsia" w:ascii="宋体" w:hAnsi="宋体" w:eastAsia="宋体" w:cs="宋体"/>
          <w:lang w:val="en-US" w:eastAsia="zh-CN"/>
        </w:rPr>
        <w:t>17周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ind w:firstLine="44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地点：公共教学楼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ind w:firstLine="44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课时：24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ind w:firstLine="44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周学时：3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ind w:firstLine="44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学分：2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pStyle w:val="3"/>
        <w:spacing w:before="0" w:line="360" w:lineRule="auto"/>
        <w:ind w:left="0" w:leftChars="0" w:right="217" w:firstLine="0" w:firstLineChars="0"/>
        <w:jc w:val="both"/>
        <w:rPr>
          <w:rFonts w:hint="eastAsia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（二）课程简介：</w:t>
      </w:r>
    </w:p>
    <w:p>
      <w:pPr>
        <w:pStyle w:val="3"/>
        <w:spacing w:before="0" w:line="360" w:lineRule="auto"/>
        <w:ind w:left="0" w:leftChars="0" w:right="217" w:firstLine="420" w:firstLineChars="200"/>
        <w:jc w:val="both"/>
        <w:rPr>
          <w:lang w:eastAsia="zh-CN"/>
        </w:rPr>
      </w:pPr>
      <w:r>
        <w:rPr>
          <w:rFonts w:hint="eastAsia"/>
          <w:lang w:val="en-US" w:eastAsia="zh-CN"/>
        </w:rPr>
        <w:t>本课程基于</w:t>
      </w:r>
      <w:r>
        <w:rPr>
          <w:rFonts w:hint="eastAsia"/>
          <w:lang w:eastAsia="zh-CN"/>
        </w:rPr>
        <w:t>媒介</w:t>
      </w:r>
      <w:r>
        <w:rPr>
          <w:rFonts w:hint="eastAsia"/>
          <w:lang w:val="en-US" w:eastAsia="zh-CN"/>
        </w:rPr>
        <w:t>文化的多学科研究。</w:t>
      </w:r>
      <w:r>
        <w:rPr>
          <w:rFonts w:hint="eastAsia"/>
          <w:lang w:eastAsia="zh-CN"/>
        </w:rPr>
        <w:t>它集中体现了</w:t>
      </w:r>
      <w:r>
        <w:rPr>
          <w:rFonts w:hint="eastAsia"/>
          <w:lang w:val="en-US" w:eastAsia="zh-CN"/>
        </w:rPr>
        <w:t>法兰克福学派、伯明翰学派和美国文化研究等一批马克思主义</w:t>
      </w:r>
      <w:r>
        <w:rPr>
          <w:rFonts w:hint="eastAsia"/>
          <w:lang w:eastAsia="zh-CN"/>
        </w:rPr>
        <w:t>文化学者对媒介</w:t>
      </w:r>
      <w:r>
        <w:rPr>
          <w:rFonts w:hint="eastAsia"/>
          <w:lang w:val="en-US" w:eastAsia="zh-CN"/>
        </w:rPr>
        <w:t>文化实践</w:t>
      </w:r>
      <w:r>
        <w:rPr>
          <w:rFonts w:hint="eastAsia"/>
          <w:lang w:eastAsia="zh-CN"/>
        </w:rPr>
        <w:t>的看法，形成了大量内容丰富的典籍。从他们的思想出发，可以帮助学生</w:t>
      </w:r>
      <w:r>
        <w:rPr>
          <w:rFonts w:hint="eastAsia"/>
          <w:lang w:val="en-US" w:eastAsia="zh-CN"/>
        </w:rPr>
        <w:t>批判性地解读媒介文化实践和媒介文本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理解媒介文化与人类现代性生活和当下人类精神状况的关系</w:t>
      </w:r>
      <w:r>
        <w:rPr>
          <w:rFonts w:hint="eastAsia"/>
          <w:lang w:eastAsia="zh-CN"/>
        </w:rPr>
        <w:t>。</w:t>
      </w:r>
    </w:p>
    <w:p>
      <w:pPr>
        <w:pStyle w:val="3"/>
        <w:spacing w:before="0" w:line="360" w:lineRule="auto"/>
        <w:ind w:left="0" w:leftChars="0" w:right="217"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本课通过引导性阅读的方法，鼓励学生从学术原典中博古通今，最终理解</w:t>
      </w:r>
      <w:r>
        <w:rPr>
          <w:rFonts w:hint="eastAsia"/>
          <w:lang w:val="en-US" w:eastAsia="zh-CN"/>
        </w:rPr>
        <w:t>媒介的文化实践给人类历史带来了何种变化</w:t>
      </w:r>
      <w:r>
        <w:rPr>
          <w:rFonts w:hint="eastAsia"/>
          <w:lang w:eastAsia="zh-CN"/>
        </w:rPr>
        <w:t>。</w:t>
      </w:r>
    </w:p>
    <w:p>
      <w:pPr>
        <w:pStyle w:val="3"/>
        <w:spacing w:before="0" w:line="360" w:lineRule="auto"/>
        <w:ind w:left="0" w:leftChars="0" w:right="217"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课程共研读讨论</w:t>
      </w:r>
      <w:r>
        <w:rPr>
          <w:lang w:eastAsia="zh-CN"/>
        </w:rPr>
        <w:t>12</w:t>
      </w:r>
      <w:r>
        <w:rPr>
          <w:rFonts w:hint="eastAsia"/>
          <w:lang w:eastAsia="zh-CN"/>
        </w:rPr>
        <w:t>本媒介研究经典，每本书指定一位同学阅读并做报告，每次课两名，其他同学在两本书中选择一本精读、一本浏览，并参与讨论。</w:t>
      </w:r>
    </w:p>
    <w:p>
      <w:pPr>
        <w:pStyle w:val="3"/>
        <w:spacing w:before="0" w:line="360" w:lineRule="auto"/>
        <w:ind w:left="0" w:leftChars="0" w:right="217" w:firstLine="416" w:firstLineChars="200"/>
        <w:jc w:val="both"/>
        <w:rPr>
          <w:spacing w:val="-1"/>
          <w:lang w:eastAsia="zh-CN"/>
        </w:rPr>
      </w:pPr>
      <w:r>
        <w:rPr>
          <w:rFonts w:hint="eastAsia"/>
          <w:spacing w:val="-1"/>
          <w:lang w:eastAsia="zh-CN"/>
        </w:rPr>
        <w:t>考核方式：口头汇报＋读书报告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ind w:firstLine="44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textAlignment w:val="auto"/>
        <w:rPr>
          <w:rFonts w:ascii="宋体"/>
          <w:lang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（三）课程大纲</w:t>
      </w:r>
      <w:r>
        <w:rPr>
          <w:rFonts w:hint="default" w:ascii="宋体" w:hAnsi="宋体" w:eastAsia="宋体" w:cs="宋体"/>
          <w:b/>
          <w:bCs/>
          <w:lang w:eastAsia="zh-CN"/>
        </w:rPr>
        <w:t>及阅读书目</w:t>
      </w:r>
      <w:r>
        <w:rPr>
          <w:rFonts w:hint="eastAsia" w:ascii="宋体" w:hAnsi="宋体"/>
          <w:lang w:eastAsia="zh-CN"/>
        </w:rPr>
        <w:t>（暂定）</w:t>
      </w:r>
      <w:r>
        <w:rPr>
          <w:rFonts w:hint="default" w:ascii="宋体" w:hAnsi="宋体" w:eastAsia="宋体" w:cs="宋体"/>
          <w:b/>
          <w:bCs/>
          <w:lang w:eastAsia="zh-CN"/>
        </w:rPr>
        <w:t>：</w:t>
      </w:r>
    </w:p>
    <w:p>
      <w:pPr>
        <w:pStyle w:val="3"/>
        <w:spacing w:before="45" w:line="408" w:lineRule="auto"/>
        <w:ind w:left="120" w:right="114" w:firstLine="420" w:firstLineChars="200"/>
        <w:rPr>
          <w:lang w:eastAsia="zh-CN"/>
        </w:rPr>
      </w:pPr>
      <w:r>
        <w:rPr>
          <w:rFonts w:hint="eastAsia"/>
          <w:lang w:eastAsia="zh-CN"/>
        </w:rPr>
        <w:t>第一周</w:t>
      </w:r>
      <w:r>
        <w:rPr>
          <w:rFonts w:hint="default"/>
          <w:lang w:eastAsia="zh-CN"/>
        </w:rPr>
        <w:t xml:space="preserve"> </w:t>
      </w:r>
      <w:r>
        <w:rPr>
          <w:rFonts w:hint="eastAsia"/>
          <w:lang w:eastAsia="zh-CN"/>
        </w:rPr>
        <w:t>导论</w:t>
      </w:r>
    </w:p>
    <w:p>
      <w:pPr>
        <w:pStyle w:val="3"/>
        <w:spacing w:before="45" w:line="408" w:lineRule="auto"/>
        <w:ind w:left="120" w:right="114" w:firstLine="420" w:firstLineChars="200"/>
        <w:rPr>
          <w:lang w:eastAsia="zh-CN"/>
        </w:rPr>
      </w:pPr>
      <w:r>
        <w:rPr>
          <w:rFonts w:hint="eastAsia"/>
          <w:lang w:eastAsia="zh-CN"/>
        </w:rPr>
        <w:t>第二周</w:t>
      </w:r>
      <w:r>
        <w:rPr>
          <w:rFonts w:hint="default"/>
          <w:lang w:eastAsia="zh-CN"/>
        </w:rPr>
        <w:t xml:space="preserve"> </w:t>
      </w:r>
      <w:r>
        <w:rPr>
          <w:rFonts w:hint="eastAsia"/>
          <w:lang w:val="en-US" w:eastAsia="zh-CN"/>
        </w:rPr>
        <w:t>霍克海默等</w:t>
      </w:r>
      <w:r>
        <w:rPr>
          <w:rFonts w:hint="eastAsia"/>
          <w:lang w:eastAsia="zh-CN"/>
        </w:rPr>
        <w:t>：《</w:t>
      </w:r>
      <w:r>
        <w:rPr>
          <w:rFonts w:hint="eastAsia"/>
          <w:lang w:val="en-US" w:eastAsia="zh-CN"/>
        </w:rPr>
        <w:t>启蒙辩证法</w:t>
      </w:r>
      <w:r>
        <w:rPr>
          <w:rFonts w:hint="eastAsia"/>
          <w:lang w:eastAsia="zh-CN"/>
        </w:rPr>
        <w:t>》（</w:t>
      </w:r>
      <w:r>
        <w:rPr>
          <w:rFonts w:hint="eastAsia"/>
          <w:lang w:val="en-US" w:eastAsia="zh-CN"/>
        </w:rPr>
        <w:t>上海人民出版社</w:t>
      </w:r>
      <w:r>
        <w:rPr>
          <w:rFonts w:hint="eastAsia"/>
          <w:lang w:eastAsia="zh-CN"/>
        </w:rPr>
        <w:t>）、</w:t>
      </w:r>
      <w:r>
        <w:rPr>
          <w:rFonts w:hint="eastAsia"/>
          <w:lang w:val="en-US" w:eastAsia="zh-CN"/>
        </w:rPr>
        <w:t>本雅明：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机械复制时代的艺术</w:t>
      </w:r>
      <w:r>
        <w:rPr>
          <w:rFonts w:hint="eastAsia"/>
          <w:lang w:eastAsia="zh-CN"/>
        </w:rPr>
        <w:t>》（</w:t>
      </w:r>
      <w:r>
        <w:rPr>
          <w:rFonts w:hint="eastAsia"/>
          <w:lang w:val="en-US" w:eastAsia="zh-CN"/>
        </w:rPr>
        <w:t>中国城市</w:t>
      </w:r>
      <w:r>
        <w:rPr>
          <w:rFonts w:hint="eastAsia"/>
          <w:lang w:eastAsia="zh-CN"/>
        </w:rPr>
        <w:t>出版社）</w:t>
      </w:r>
    </w:p>
    <w:p>
      <w:pPr>
        <w:pStyle w:val="3"/>
        <w:spacing w:before="45" w:line="408" w:lineRule="auto"/>
        <w:ind w:left="120" w:right="114" w:firstLine="420" w:firstLineChars="200"/>
        <w:rPr>
          <w:lang w:eastAsia="zh-CN"/>
        </w:rPr>
      </w:pPr>
      <w:r>
        <w:rPr>
          <w:rFonts w:hint="eastAsia"/>
          <w:lang w:eastAsia="zh-CN"/>
        </w:rPr>
        <w:t>第三周</w:t>
      </w:r>
      <w:r>
        <w:rPr>
          <w:rFonts w:hint="default"/>
          <w:lang w:eastAsia="zh-CN"/>
        </w:rPr>
        <w:t xml:space="preserve"> </w:t>
      </w:r>
      <w:r>
        <w:rPr>
          <w:rFonts w:hint="eastAsia"/>
          <w:lang w:val="en-US" w:eastAsia="zh-CN"/>
        </w:rPr>
        <w:t>雷蒙·威廉斯</w:t>
      </w:r>
      <w:r>
        <w:rPr>
          <w:rFonts w:hint="eastAsia"/>
          <w:lang w:eastAsia="zh-CN"/>
        </w:rPr>
        <w:t>：《</w:t>
      </w:r>
      <w:r>
        <w:rPr>
          <w:rFonts w:hint="eastAsia"/>
          <w:lang w:val="en-US" w:eastAsia="zh-CN"/>
        </w:rPr>
        <w:t>文化与社会</w:t>
      </w:r>
      <w:r>
        <w:rPr>
          <w:rFonts w:hint="eastAsia"/>
          <w:lang w:eastAsia="zh-CN"/>
        </w:rPr>
        <w:t>》（</w:t>
      </w:r>
      <w:r>
        <w:rPr>
          <w:rFonts w:hint="eastAsia"/>
          <w:lang w:val="en-US" w:eastAsia="zh-CN"/>
        </w:rPr>
        <w:t>吉林</w:t>
      </w:r>
      <w:r>
        <w:rPr>
          <w:rFonts w:hint="eastAsia"/>
          <w:lang w:eastAsia="zh-CN"/>
        </w:rPr>
        <w:t>出版</w:t>
      </w:r>
      <w:r>
        <w:rPr>
          <w:rFonts w:hint="eastAsia"/>
          <w:lang w:val="en-US" w:eastAsia="zh-CN"/>
        </w:rPr>
        <w:t>集团有限责任公司</w:t>
      </w:r>
      <w:r>
        <w:rPr>
          <w:rFonts w:hint="eastAsia"/>
          <w:lang w:eastAsia="zh-CN"/>
        </w:rPr>
        <w:t>）、《</w:t>
      </w:r>
      <w:r>
        <w:rPr>
          <w:rFonts w:hint="eastAsia"/>
          <w:lang w:val="en-US" w:eastAsia="zh-CN"/>
        </w:rPr>
        <w:t>漫长的革命</w:t>
      </w:r>
      <w:r>
        <w:rPr>
          <w:rFonts w:hint="eastAsia"/>
          <w:lang w:eastAsia="zh-CN"/>
        </w:rPr>
        <w:t>》（</w:t>
      </w:r>
      <w:r>
        <w:rPr>
          <w:rFonts w:hint="eastAsia"/>
          <w:lang w:val="en-US" w:eastAsia="zh-CN"/>
        </w:rPr>
        <w:t>上海人民</w:t>
      </w:r>
      <w:r>
        <w:rPr>
          <w:rFonts w:hint="eastAsia"/>
          <w:lang w:eastAsia="zh-CN"/>
        </w:rPr>
        <w:t>出版社）</w:t>
      </w:r>
    </w:p>
    <w:p>
      <w:pPr>
        <w:pStyle w:val="3"/>
        <w:spacing w:before="45" w:line="408" w:lineRule="auto"/>
        <w:ind w:left="120" w:right="114" w:firstLine="420" w:firstLineChars="200"/>
        <w:rPr>
          <w:lang w:eastAsia="zh-CN"/>
        </w:rPr>
      </w:pPr>
      <w:r>
        <w:rPr>
          <w:rFonts w:hint="eastAsia"/>
          <w:lang w:eastAsia="zh-CN"/>
        </w:rPr>
        <w:t>第四周</w:t>
      </w:r>
      <w:r>
        <w:rPr>
          <w:rFonts w:hint="default"/>
          <w:lang w:eastAsia="zh-CN"/>
        </w:rPr>
        <w:t xml:space="preserve"> </w:t>
      </w:r>
      <w:r>
        <w:rPr>
          <w:rFonts w:hint="eastAsia"/>
          <w:lang w:val="en-US" w:eastAsia="zh-CN"/>
        </w:rPr>
        <w:t>斯图亚特·霍尔</w:t>
      </w:r>
      <w:r>
        <w:rPr>
          <w:rFonts w:hint="eastAsia"/>
          <w:lang w:eastAsia="zh-CN"/>
        </w:rPr>
        <w:t>：《</w:t>
      </w:r>
      <w:r>
        <w:rPr>
          <w:rFonts w:hint="eastAsia"/>
          <w:lang w:val="en-US" w:eastAsia="zh-CN"/>
        </w:rPr>
        <w:t>编码、解码</w:t>
      </w:r>
      <w:r>
        <w:rPr>
          <w:rFonts w:hint="eastAsia"/>
          <w:lang w:eastAsia="zh-CN"/>
        </w:rPr>
        <w:t>》（</w:t>
      </w:r>
      <w:r>
        <w:rPr>
          <w:rFonts w:hint="eastAsia"/>
          <w:lang w:val="en-US" w:eastAsia="zh-CN"/>
        </w:rPr>
        <w:t>见《大众文化读本》，中国社会科学出版社，并同时阅读张亮：《理解斯图亚特·霍尔》，北京师范大学出版社</w:t>
      </w:r>
      <w:r>
        <w:rPr>
          <w:rFonts w:hint="eastAsia"/>
          <w:lang w:eastAsia="zh-CN"/>
        </w:rPr>
        <w:t>）、</w:t>
      </w:r>
      <w:r>
        <w:rPr>
          <w:rFonts w:hint="eastAsia"/>
          <w:lang w:val="en-US" w:eastAsia="zh-CN"/>
        </w:rPr>
        <w:t>大卫·莫利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电视受众与文化研究</w:t>
      </w:r>
      <w:r>
        <w:rPr>
          <w:rFonts w:hint="eastAsia"/>
          <w:lang w:eastAsia="zh-CN"/>
        </w:rPr>
        <w:t>》（</w:t>
      </w:r>
      <w:r>
        <w:rPr>
          <w:rFonts w:hint="eastAsia"/>
          <w:lang w:val="en-US" w:eastAsia="zh-CN"/>
        </w:rPr>
        <w:t>新华出版社</w:t>
      </w:r>
      <w:r>
        <w:rPr>
          <w:rFonts w:hint="eastAsia"/>
          <w:lang w:eastAsia="zh-CN"/>
        </w:rPr>
        <w:t>）</w:t>
      </w:r>
    </w:p>
    <w:p>
      <w:pPr>
        <w:pStyle w:val="3"/>
        <w:spacing w:before="45" w:line="408" w:lineRule="auto"/>
        <w:ind w:left="120" w:right="114" w:firstLine="420" w:firstLineChars="200"/>
        <w:rPr>
          <w:lang w:eastAsia="zh-CN"/>
        </w:rPr>
      </w:pPr>
      <w:r>
        <w:rPr>
          <w:rFonts w:hint="eastAsia"/>
          <w:lang w:eastAsia="zh-CN"/>
        </w:rPr>
        <w:t>第五周</w:t>
      </w:r>
      <w:r>
        <w:rPr>
          <w:rFonts w:hint="default"/>
          <w:lang w:eastAsia="zh-CN"/>
        </w:rPr>
        <w:t xml:space="preserve"> </w:t>
      </w:r>
      <w:r>
        <w:rPr>
          <w:rFonts w:hint="eastAsia"/>
          <w:lang w:val="en-US" w:eastAsia="zh-CN"/>
        </w:rPr>
        <w:t>费斯克：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解读大众文化</w:t>
      </w:r>
      <w:r>
        <w:rPr>
          <w:rFonts w:hint="eastAsia"/>
          <w:lang w:eastAsia="zh-CN"/>
        </w:rPr>
        <w:t>》（</w:t>
      </w:r>
      <w:r>
        <w:rPr>
          <w:rFonts w:hint="eastAsia"/>
          <w:lang w:val="en-US" w:eastAsia="zh-CN"/>
        </w:rPr>
        <w:t>南京大学出版社</w:t>
      </w:r>
      <w:r>
        <w:rPr>
          <w:rFonts w:hint="eastAsia"/>
          <w:lang w:eastAsia="zh-CN"/>
        </w:rPr>
        <w:t>）、《</w:t>
      </w:r>
      <w:r>
        <w:rPr>
          <w:rFonts w:hint="eastAsia"/>
          <w:lang w:val="en-US" w:eastAsia="zh-CN"/>
        </w:rPr>
        <w:t>理解大众</w:t>
      </w:r>
      <w:r>
        <w:rPr>
          <w:rFonts w:hint="eastAsia"/>
          <w:lang w:eastAsia="zh-CN"/>
        </w:rPr>
        <w:t>文化》（</w:t>
      </w:r>
      <w:r>
        <w:rPr>
          <w:rFonts w:hint="eastAsia"/>
          <w:lang w:val="en-US" w:eastAsia="zh-CN"/>
        </w:rPr>
        <w:t>中央文献</w:t>
      </w:r>
      <w:r>
        <w:rPr>
          <w:rFonts w:hint="eastAsia"/>
          <w:lang w:eastAsia="zh-CN"/>
        </w:rPr>
        <w:t>出版社）</w:t>
      </w:r>
    </w:p>
    <w:p>
      <w:pPr>
        <w:pStyle w:val="3"/>
        <w:spacing w:before="45" w:line="408" w:lineRule="auto"/>
        <w:ind w:left="120" w:right="114" w:firstLine="420" w:firstLineChars="200"/>
        <w:rPr>
          <w:lang w:eastAsia="zh-CN"/>
        </w:rPr>
      </w:pPr>
      <w:r>
        <w:rPr>
          <w:rFonts w:hint="eastAsia"/>
          <w:lang w:eastAsia="zh-CN"/>
        </w:rPr>
        <w:t>第六周</w:t>
      </w:r>
      <w:r>
        <w:rPr>
          <w:rFonts w:hint="default"/>
          <w:lang w:eastAsia="zh-CN"/>
        </w:rPr>
        <w:t xml:space="preserve"> </w:t>
      </w:r>
      <w:r>
        <w:rPr>
          <w:rFonts w:hint="eastAsia"/>
          <w:lang w:val="en-US" w:eastAsia="zh-CN"/>
        </w:rPr>
        <w:t>詹姆斯·凯瑞</w:t>
      </w:r>
      <w:r>
        <w:rPr>
          <w:rFonts w:hint="eastAsia"/>
          <w:lang w:eastAsia="zh-CN"/>
        </w:rPr>
        <w:t>：《</w:t>
      </w:r>
      <w:r>
        <w:rPr>
          <w:rFonts w:hint="eastAsia"/>
          <w:lang w:val="en-US" w:eastAsia="zh-CN"/>
        </w:rPr>
        <w:t>作为文化的传播</w:t>
      </w:r>
      <w:r>
        <w:rPr>
          <w:rFonts w:hint="eastAsia"/>
          <w:lang w:eastAsia="zh-CN"/>
        </w:rPr>
        <w:t>》（</w:t>
      </w:r>
      <w:r>
        <w:rPr>
          <w:rFonts w:hint="eastAsia"/>
          <w:lang w:val="en-US" w:eastAsia="zh-CN"/>
        </w:rPr>
        <w:t>华夏</w:t>
      </w:r>
      <w:r>
        <w:rPr>
          <w:rFonts w:hint="eastAsia"/>
          <w:lang w:eastAsia="zh-CN"/>
        </w:rPr>
        <w:t>出版社）、</w:t>
      </w:r>
      <w:r>
        <w:rPr>
          <w:rFonts w:hint="eastAsia"/>
          <w:lang w:val="en-US" w:eastAsia="zh-CN"/>
        </w:rPr>
        <w:t>格罗斯伯格：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媒介建构</w:t>
      </w:r>
      <w:r>
        <w:rPr>
          <w:rFonts w:hint="eastAsia"/>
          <w:lang w:eastAsia="zh-CN"/>
        </w:rPr>
        <w:t>》（</w:t>
      </w:r>
      <w:r>
        <w:rPr>
          <w:rFonts w:hint="eastAsia"/>
          <w:lang w:val="en-US" w:eastAsia="zh-CN"/>
        </w:rPr>
        <w:t>南京大学</w:t>
      </w:r>
      <w:r>
        <w:rPr>
          <w:rFonts w:hint="eastAsia"/>
          <w:lang w:eastAsia="zh-CN"/>
        </w:rPr>
        <w:t>出版社）</w:t>
      </w:r>
    </w:p>
    <w:p>
      <w:pPr>
        <w:pStyle w:val="3"/>
        <w:spacing w:before="45" w:line="408" w:lineRule="auto"/>
        <w:ind w:right="114" w:firstLine="420" w:firstLineChars="200"/>
        <w:rPr>
          <w:lang w:eastAsia="zh-CN"/>
        </w:rPr>
      </w:pPr>
      <w:r>
        <w:rPr>
          <w:rFonts w:hint="eastAsia"/>
          <w:lang w:eastAsia="zh-CN"/>
        </w:rPr>
        <w:t>第七周</w:t>
      </w:r>
      <w:r>
        <w:rPr>
          <w:lang w:eastAsia="zh-CN"/>
        </w:rPr>
        <w:t xml:space="preserve">  </w:t>
      </w:r>
      <w:r>
        <w:rPr>
          <w:rFonts w:hint="eastAsia"/>
          <w:lang w:val="en-US" w:eastAsia="zh-CN"/>
        </w:rPr>
        <w:t>凯尔纳</w:t>
      </w:r>
      <w:r>
        <w:rPr>
          <w:rFonts w:hint="eastAsia"/>
          <w:lang w:eastAsia="zh-CN"/>
        </w:rPr>
        <w:t>：《</w:t>
      </w:r>
      <w:r>
        <w:rPr>
          <w:rFonts w:hint="eastAsia"/>
          <w:lang w:val="en-US" w:eastAsia="zh-CN"/>
        </w:rPr>
        <w:t>媒体奇观</w:t>
      </w:r>
      <w:r>
        <w:rPr>
          <w:rFonts w:hint="eastAsia"/>
          <w:lang w:eastAsia="zh-CN"/>
        </w:rPr>
        <w:t>》（</w:t>
      </w:r>
      <w:r>
        <w:rPr>
          <w:rFonts w:hint="eastAsia"/>
          <w:lang w:val="en-US" w:eastAsia="zh-CN"/>
        </w:rPr>
        <w:t>清华大学出版社</w:t>
      </w:r>
      <w:r>
        <w:rPr>
          <w:rFonts w:hint="eastAsia"/>
          <w:lang w:eastAsia="zh-CN"/>
        </w:rPr>
        <w:t>）、《</w:t>
      </w:r>
      <w:r>
        <w:rPr>
          <w:rFonts w:hint="eastAsia"/>
          <w:lang w:val="en-US" w:eastAsia="zh-CN"/>
        </w:rPr>
        <w:t>媒体文化</w:t>
      </w:r>
      <w:r>
        <w:rPr>
          <w:rFonts w:hint="eastAsia"/>
          <w:lang w:eastAsia="zh-CN"/>
        </w:rPr>
        <w:t>》（</w:t>
      </w:r>
      <w:r>
        <w:rPr>
          <w:rFonts w:hint="eastAsia"/>
          <w:lang w:val="en-US" w:eastAsia="zh-CN"/>
        </w:rPr>
        <w:t>商务印书馆</w:t>
      </w:r>
      <w:r>
        <w:rPr>
          <w:rFonts w:hint="eastAsia"/>
          <w:lang w:eastAsia="zh-CN"/>
        </w:rPr>
        <w:t>）</w:t>
      </w:r>
    </w:p>
    <w:p>
      <w:pPr>
        <w:pStyle w:val="3"/>
        <w:spacing w:before="45" w:line="408" w:lineRule="auto"/>
        <w:ind w:right="114"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第八周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>结课</w:t>
      </w:r>
    </w:p>
    <w:p>
      <w:pPr>
        <w:pStyle w:val="3"/>
        <w:spacing w:before="45" w:line="408" w:lineRule="auto"/>
        <w:ind w:right="114"/>
        <w:rPr>
          <w:rFonts w:hint="eastAsia"/>
          <w:lang w:eastAsia="zh-CN"/>
        </w:rPr>
      </w:pPr>
    </w:p>
    <w:p>
      <w:pPr>
        <w:pStyle w:val="3"/>
        <w:numPr>
          <w:ilvl w:val="0"/>
          <w:numId w:val="2"/>
        </w:numPr>
        <w:spacing w:before="45" w:line="408" w:lineRule="auto"/>
        <w:ind w:left="0" w:leftChars="0" w:right="114" w:firstLine="0" w:firstLineChars="0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补充信息：</w:t>
      </w:r>
    </w:p>
    <w:p>
      <w:pPr>
        <w:pStyle w:val="3"/>
        <w:numPr>
          <w:numId w:val="0"/>
        </w:numPr>
        <w:spacing w:before="45" w:line="408" w:lineRule="auto"/>
        <w:ind w:leftChars="0" w:right="114" w:rightChars="0" w:firstLine="420" w:firstLineChars="200"/>
        <w:rPr>
          <w:rFonts w:hint="eastAsia"/>
          <w:lang w:eastAsia="zh-CN"/>
        </w:rPr>
      </w:pPr>
      <w:bookmarkStart w:id="1" w:name="_GoBack"/>
      <w:r>
        <w:rPr>
          <w:rFonts w:hint="default"/>
          <w:lang w:eastAsia="zh-CN"/>
        </w:rPr>
        <w:t>本课程阅读量较大，且因疫情原因压缩到后半学期授课，需要选课同学提前阅读，如未做好阅读的准备，慎选。</w:t>
      </w:r>
    </w:p>
    <w:bookmarkEnd w:id="1"/>
    <w:p>
      <w:pPr>
        <w:pStyle w:val="3"/>
        <w:spacing w:before="45" w:line="408" w:lineRule="auto"/>
        <w:ind w:left="120" w:right="114" w:firstLine="420"/>
        <w:rPr>
          <w:rFonts w:hint="eastAsia"/>
          <w:lang w:eastAsia="zh-CN"/>
        </w:rPr>
      </w:pPr>
    </w:p>
    <w:p>
      <w:pPr>
        <w:pStyle w:val="3"/>
        <w:spacing w:before="45" w:line="408" w:lineRule="auto"/>
        <w:ind w:left="120" w:right="114" w:firstLine="420"/>
        <w:rPr>
          <w:rFonts w:hint="eastAsia"/>
          <w:lang w:eastAsia="zh-CN"/>
        </w:rPr>
      </w:pPr>
    </w:p>
    <w:p>
      <w:pPr>
        <w:pStyle w:val="3"/>
        <w:spacing w:before="45" w:line="408" w:lineRule="auto"/>
        <w:ind w:left="120" w:right="114" w:firstLine="420"/>
        <w:rPr>
          <w:lang w:eastAsia="zh-CN"/>
        </w:rPr>
      </w:pPr>
    </w:p>
    <w:sectPr>
      <w:pgSz w:w="11910" w:h="16840"/>
      <w:pgMar w:top="14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S PGothic">
    <w:altName w:val="Hiragino Sans"/>
    <w:panose1 w:val="020B0600070205080204"/>
    <w:charset w:val="80"/>
    <w:family w:val="auto"/>
    <w:pitch w:val="default"/>
    <w:sig w:usb0="00000000" w:usb1="00000000" w:usb2="08000012" w:usb3="00000000" w:csb0="4002009F" w:csb1="DFD7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Times-Roman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996E2"/>
    <w:multiLevelType w:val="singleLevel"/>
    <w:tmpl w:val="4D8996E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4E85DD"/>
    <w:multiLevelType w:val="singleLevel"/>
    <w:tmpl w:val="5E4E85DD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03"/>
    <w:rsid w:val="0002425D"/>
    <w:rsid w:val="00050232"/>
    <w:rsid w:val="000D7767"/>
    <w:rsid w:val="000E7ABE"/>
    <w:rsid w:val="000F156A"/>
    <w:rsid w:val="0010185F"/>
    <w:rsid w:val="00111FC7"/>
    <w:rsid w:val="001264B6"/>
    <w:rsid w:val="00126E82"/>
    <w:rsid w:val="00140260"/>
    <w:rsid w:val="0018728C"/>
    <w:rsid w:val="001A3346"/>
    <w:rsid w:val="001F5E4D"/>
    <w:rsid w:val="00207901"/>
    <w:rsid w:val="002712C5"/>
    <w:rsid w:val="00277776"/>
    <w:rsid w:val="00316810"/>
    <w:rsid w:val="003363FF"/>
    <w:rsid w:val="00371F6F"/>
    <w:rsid w:val="003B3CAF"/>
    <w:rsid w:val="003D5BE1"/>
    <w:rsid w:val="00403362"/>
    <w:rsid w:val="00407840"/>
    <w:rsid w:val="0043159A"/>
    <w:rsid w:val="004440D3"/>
    <w:rsid w:val="00446A97"/>
    <w:rsid w:val="004841FA"/>
    <w:rsid w:val="005317C6"/>
    <w:rsid w:val="005A52FE"/>
    <w:rsid w:val="005D5E55"/>
    <w:rsid w:val="006138D1"/>
    <w:rsid w:val="006203E3"/>
    <w:rsid w:val="00634F43"/>
    <w:rsid w:val="006429AA"/>
    <w:rsid w:val="00645B8E"/>
    <w:rsid w:val="006F3AF6"/>
    <w:rsid w:val="00715462"/>
    <w:rsid w:val="00717174"/>
    <w:rsid w:val="00747EAE"/>
    <w:rsid w:val="00752547"/>
    <w:rsid w:val="007601D9"/>
    <w:rsid w:val="0077494D"/>
    <w:rsid w:val="008109EA"/>
    <w:rsid w:val="00812487"/>
    <w:rsid w:val="008531D2"/>
    <w:rsid w:val="008834BF"/>
    <w:rsid w:val="008C6264"/>
    <w:rsid w:val="00900EEF"/>
    <w:rsid w:val="00900FCB"/>
    <w:rsid w:val="00931A68"/>
    <w:rsid w:val="0095109B"/>
    <w:rsid w:val="0097192D"/>
    <w:rsid w:val="009B32F2"/>
    <w:rsid w:val="009B3461"/>
    <w:rsid w:val="009C191A"/>
    <w:rsid w:val="00A053CB"/>
    <w:rsid w:val="00A21B90"/>
    <w:rsid w:val="00A86FA8"/>
    <w:rsid w:val="00B07C68"/>
    <w:rsid w:val="00B26855"/>
    <w:rsid w:val="00BB4BFC"/>
    <w:rsid w:val="00BB5EEA"/>
    <w:rsid w:val="00BC6296"/>
    <w:rsid w:val="00BE2CC4"/>
    <w:rsid w:val="00CD53A9"/>
    <w:rsid w:val="00CE68CC"/>
    <w:rsid w:val="00D06B3E"/>
    <w:rsid w:val="00D26C3E"/>
    <w:rsid w:val="00D30993"/>
    <w:rsid w:val="00D47E5F"/>
    <w:rsid w:val="00D5737E"/>
    <w:rsid w:val="00D6134E"/>
    <w:rsid w:val="00DC4FB0"/>
    <w:rsid w:val="00E04F37"/>
    <w:rsid w:val="00E84F33"/>
    <w:rsid w:val="00E91803"/>
    <w:rsid w:val="00EA0A2A"/>
    <w:rsid w:val="00ED1B8C"/>
    <w:rsid w:val="00EE5621"/>
    <w:rsid w:val="00EF707F"/>
    <w:rsid w:val="00F0330F"/>
    <w:rsid w:val="00F20A3C"/>
    <w:rsid w:val="00F44A3C"/>
    <w:rsid w:val="00FC3C69"/>
    <w:rsid w:val="00FE2CC1"/>
    <w:rsid w:val="27DA77C5"/>
    <w:rsid w:val="737A7143"/>
    <w:rsid w:val="E2BBD420"/>
    <w:rsid w:val="FFE5B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9"/>
    <w:pPr>
      <w:ind w:left="120"/>
      <w:outlineLvl w:val="0"/>
    </w:pPr>
    <w:rPr>
      <w:rFonts w:ascii="宋体" w:hAnsi="宋体"/>
      <w:b/>
      <w:bCs/>
      <w:sz w:val="21"/>
      <w:szCs w:val="21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99"/>
    <w:pPr>
      <w:spacing w:before="10"/>
      <w:ind w:left="119"/>
    </w:pPr>
    <w:rPr>
      <w:rFonts w:ascii="宋体" w:hAnsi="宋体"/>
      <w:sz w:val="21"/>
      <w:szCs w:val="21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6"/>
    <w:link w:val="2"/>
    <w:qFormat/>
    <w:locked/>
    <w:uiPriority w:val="99"/>
    <w:rPr>
      <w:rFonts w:cs="Times New Roman"/>
      <w:b/>
      <w:bCs/>
      <w:kern w:val="44"/>
      <w:sz w:val="44"/>
      <w:szCs w:val="44"/>
      <w:lang w:eastAsia="en-US"/>
    </w:rPr>
  </w:style>
  <w:style w:type="table" w:customStyle="1" w:styleId="9">
    <w:name w:val="Table Normal1"/>
    <w:semiHidden/>
    <w:qFormat/>
    <w:uiPriority w:val="99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Body Text Char"/>
    <w:basedOn w:val="6"/>
    <w:link w:val="3"/>
    <w:semiHidden/>
    <w:qFormat/>
    <w:locked/>
    <w:uiPriority w:val="99"/>
    <w:rPr>
      <w:rFonts w:cs="Times New Roman"/>
      <w:kern w:val="0"/>
      <w:sz w:val="22"/>
      <w:lang w:eastAsia="en-US"/>
    </w:rPr>
  </w:style>
  <w:style w:type="paragraph" w:customStyle="1" w:styleId="11">
    <w:name w:val="List Paragraph"/>
    <w:basedOn w:val="1"/>
    <w:qFormat/>
    <w:uiPriority w:val="99"/>
  </w:style>
  <w:style w:type="paragraph" w:customStyle="1" w:styleId="12">
    <w:name w:val="Table Paragraph"/>
    <w:basedOn w:val="1"/>
    <w:qFormat/>
    <w:uiPriority w:val="99"/>
  </w:style>
  <w:style w:type="character" w:customStyle="1" w:styleId="13">
    <w:name w:val="Header Char"/>
    <w:basedOn w:val="6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ot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p1"/>
    <w:basedOn w:val="1"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583</Characters>
  <Lines>0</Lines>
  <Paragraphs>0</Paragraphs>
  <TotalTime>0</TotalTime>
  <ScaleCrop>false</ScaleCrop>
  <LinksUpToDate>false</LinksUpToDate>
  <CharactersWithSpaces>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2017-11-20T04:27:00Z</dcterms:created>
  <dc:creator>SHERLOCK</dc:creator>
  <cp:lastModifiedBy>linxin</cp:lastModifiedBy>
  <dcterms:modified xsi:type="dcterms:W3CDTF">2020-02-20T21:11:18Z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