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31B" w:rsidRPr="00633C8C" w:rsidRDefault="0042231B" w:rsidP="0042231B">
      <w:pPr>
        <w:spacing w:line="360" w:lineRule="auto"/>
        <w:jc w:val="center"/>
        <w:rPr>
          <w:rFonts w:ascii="黑体" w:eastAsia="黑体" w:hAnsi="黑体" w:hint="eastAsia"/>
          <w:b/>
          <w:color w:val="000000"/>
          <w:kern w:val="0"/>
          <w:sz w:val="28"/>
          <w:szCs w:val="28"/>
        </w:rPr>
      </w:pPr>
      <w:r w:rsidRPr="00633C8C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南京大学通识课程建设要求</w:t>
      </w:r>
    </w:p>
    <w:p w:rsidR="0042231B" w:rsidRPr="00633C8C" w:rsidRDefault="0042231B" w:rsidP="0042231B">
      <w:pPr>
        <w:spacing w:line="360" w:lineRule="auto"/>
        <w:rPr>
          <w:rFonts w:ascii="黑体" w:eastAsia="黑体" w:hAnsi="黑体" w:hint="eastAsia"/>
          <w:sz w:val="24"/>
        </w:rPr>
      </w:pP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633C8C">
        <w:rPr>
          <w:rFonts w:ascii="黑体" w:eastAsia="黑体" w:hAnsi="黑体" w:hint="eastAsia"/>
          <w:sz w:val="24"/>
        </w:rPr>
        <w:t>南京大学本科生通识教育将初步围绕</w:t>
      </w:r>
      <w:bookmarkStart w:id="0" w:name="OLE_LINK1"/>
      <w:bookmarkStart w:id="1" w:name="OLE_LINK2"/>
      <w:r w:rsidRPr="00633C8C">
        <w:rPr>
          <w:rFonts w:ascii="黑体" w:eastAsia="黑体" w:hAnsi="黑体" w:hint="eastAsia"/>
          <w:b/>
          <w:sz w:val="24"/>
        </w:rPr>
        <w:t>（1）</w:t>
      </w:r>
      <w:r w:rsidRPr="00633C8C">
        <w:rPr>
          <w:rFonts w:ascii="黑体" w:eastAsia="黑体" w:hAnsi="黑体" w:hint="eastAsia"/>
          <w:b/>
          <w:i/>
          <w:iCs/>
          <w:sz w:val="24"/>
        </w:rPr>
        <w:t>中国历史与民族文化</w:t>
      </w:r>
      <w:r w:rsidRPr="00633C8C">
        <w:rPr>
          <w:rFonts w:ascii="黑体" w:eastAsia="黑体" w:hAnsi="黑体" w:hint="eastAsia"/>
          <w:b/>
          <w:sz w:val="24"/>
        </w:rPr>
        <w:t>、（2）</w:t>
      </w:r>
      <w:r w:rsidRPr="00633C8C">
        <w:rPr>
          <w:rFonts w:ascii="黑体" w:eastAsia="黑体" w:hAnsi="黑体" w:hint="eastAsia"/>
          <w:b/>
          <w:i/>
          <w:iCs/>
          <w:sz w:val="24"/>
        </w:rPr>
        <w:t>世界历史与世界文明</w:t>
      </w:r>
      <w:r w:rsidRPr="00633C8C">
        <w:rPr>
          <w:rFonts w:ascii="黑体" w:eastAsia="黑体" w:hAnsi="黑体" w:hint="eastAsia"/>
          <w:b/>
          <w:sz w:val="24"/>
        </w:rPr>
        <w:t>、（3）</w:t>
      </w:r>
      <w:r w:rsidRPr="00633C8C">
        <w:rPr>
          <w:rFonts w:ascii="黑体" w:eastAsia="黑体" w:hAnsi="黑体" w:hint="eastAsia"/>
          <w:b/>
          <w:i/>
          <w:iCs/>
          <w:sz w:val="24"/>
        </w:rPr>
        <w:t>价值观与思维方法</w:t>
      </w:r>
      <w:r w:rsidRPr="00633C8C">
        <w:rPr>
          <w:rFonts w:ascii="黑体" w:eastAsia="黑体" w:hAnsi="黑体" w:hint="eastAsia"/>
          <w:b/>
          <w:sz w:val="24"/>
        </w:rPr>
        <w:t>、（4）</w:t>
      </w:r>
      <w:r w:rsidRPr="00633C8C">
        <w:rPr>
          <w:rFonts w:ascii="黑体" w:eastAsia="黑体" w:hAnsi="黑体" w:hint="eastAsia"/>
          <w:b/>
          <w:i/>
          <w:iCs/>
          <w:sz w:val="24"/>
        </w:rPr>
        <w:t>科技进步与生命探索</w:t>
      </w:r>
      <w:r w:rsidRPr="00633C8C">
        <w:rPr>
          <w:rFonts w:ascii="黑体" w:eastAsia="黑体" w:hAnsi="黑体" w:hint="eastAsia"/>
          <w:b/>
          <w:sz w:val="24"/>
        </w:rPr>
        <w:t>、（５）</w:t>
      </w:r>
      <w:r w:rsidRPr="00633C8C">
        <w:rPr>
          <w:rFonts w:ascii="黑体" w:eastAsia="黑体" w:hAnsi="黑体" w:hint="eastAsia"/>
          <w:b/>
          <w:i/>
          <w:iCs/>
          <w:sz w:val="24"/>
        </w:rPr>
        <w:t>经济发展与社会脉动</w:t>
      </w:r>
      <w:r w:rsidRPr="00633C8C">
        <w:rPr>
          <w:rFonts w:ascii="黑体" w:eastAsia="黑体" w:hAnsi="黑体" w:hint="eastAsia"/>
          <w:b/>
          <w:sz w:val="24"/>
        </w:rPr>
        <w:t>、（６）</w:t>
      </w:r>
      <w:r w:rsidRPr="00633C8C">
        <w:rPr>
          <w:rFonts w:ascii="黑体" w:eastAsia="黑体" w:hAnsi="黑体" w:hint="eastAsia"/>
          <w:b/>
          <w:i/>
          <w:iCs/>
          <w:sz w:val="24"/>
        </w:rPr>
        <w:t>文学艺术与美感</w:t>
      </w:r>
      <w:r w:rsidRPr="00633C8C">
        <w:rPr>
          <w:rFonts w:ascii="黑体" w:eastAsia="黑体" w:hAnsi="黑体" w:hint="eastAsia"/>
          <w:b/>
          <w:sz w:val="24"/>
        </w:rPr>
        <w:t>、（７）</w:t>
      </w:r>
      <w:r w:rsidRPr="00633C8C">
        <w:rPr>
          <w:rFonts w:ascii="黑体" w:eastAsia="黑体" w:hAnsi="黑体" w:hint="eastAsia"/>
          <w:b/>
          <w:i/>
          <w:iCs/>
          <w:sz w:val="24"/>
        </w:rPr>
        <w:t>跨文化沟通与人际交往</w:t>
      </w:r>
      <w:bookmarkEnd w:id="0"/>
      <w:bookmarkEnd w:id="1"/>
      <w:r w:rsidRPr="00633C8C">
        <w:rPr>
          <w:rFonts w:ascii="黑体" w:eastAsia="黑体" w:hAnsi="黑体" w:hint="eastAsia"/>
          <w:b/>
          <w:i/>
          <w:iCs/>
          <w:sz w:val="24"/>
        </w:rPr>
        <w:t xml:space="preserve"> </w:t>
      </w:r>
      <w:r w:rsidRPr="00633C8C">
        <w:rPr>
          <w:rFonts w:ascii="黑体" w:eastAsia="黑体" w:hAnsi="黑体" w:hint="eastAsia"/>
          <w:sz w:val="24"/>
        </w:rPr>
        <w:t>等七大类别，选聘高水平教师，以课程建设的形式展开。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</w:p>
    <w:p w:rsidR="0042231B" w:rsidRPr="00633C8C" w:rsidRDefault="0042231B" w:rsidP="0042231B">
      <w:pPr>
        <w:spacing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633C8C">
        <w:rPr>
          <w:rFonts w:ascii="黑体" w:eastAsia="黑体" w:hAnsi="黑体" w:hint="eastAsia"/>
          <w:b/>
          <w:sz w:val="24"/>
        </w:rPr>
        <w:t>一、课程建设要求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bCs/>
          <w:sz w:val="24"/>
        </w:rPr>
      </w:pPr>
      <w:r w:rsidRPr="00633C8C">
        <w:rPr>
          <w:rFonts w:ascii="黑体" w:eastAsia="黑体" w:hAnsi="黑体" w:hint="eastAsia"/>
          <w:bCs/>
          <w:sz w:val="24"/>
        </w:rPr>
        <w:t>通识课程要求打破专业局限，开阔学生的学术视野，培养文化通感和科学精神，要求教师能对自己专业领域的知识有深入系统的把握，对研究前沿动态有敏锐的眼光，并善于深入浅出地讲解，保证课程既有深度又有新意，同时对不同学科学生有广泛吸引力和思维启发性。</w:t>
      </w:r>
    </w:p>
    <w:p w:rsidR="0042231B" w:rsidRPr="00633C8C" w:rsidRDefault="0042231B" w:rsidP="0042231B">
      <w:pPr>
        <w:spacing w:line="360" w:lineRule="auto"/>
        <w:ind w:firstLineChars="200" w:firstLine="482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b/>
          <w:sz w:val="24"/>
        </w:rPr>
        <w:t>通识课程不同于专业课程</w:t>
      </w:r>
      <w:r w:rsidRPr="00633C8C">
        <w:rPr>
          <w:rFonts w:ascii="黑体" w:eastAsia="黑体" w:hAnsi="黑体" w:hint="eastAsia"/>
          <w:sz w:val="24"/>
        </w:rPr>
        <w:t>，专业教育主要关注学生某种专业知识的传授及其职业能力的培养，而通识课程的目的在于通过重组教学内容，对学生进行多方面能力的训练，发展其思维能力，提高学生表达思想、判断和鉴别价值等方面的能力，并以此促使学生的感情和理智都得到发展，使其全面发展，塑造完整人格。</w:t>
      </w:r>
    </w:p>
    <w:p w:rsidR="0042231B" w:rsidRPr="00633C8C" w:rsidRDefault="0042231B" w:rsidP="0042231B">
      <w:pPr>
        <w:spacing w:line="360" w:lineRule="auto"/>
        <w:ind w:firstLineChars="200" w:firstLine="482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b/>
          <w:sz w:val="24"/>
        </w:rPr>
        <w:t>通识课程也不同于素质课程</w:t>
      </w:r>
      <w:r w:rsidRPr="00633C8C">
        <w:rPr>
          <w:rFonts w:ascii="黑体" w:eastAsia="黑体" w:hAnsi="黑体" w:hint="eastAsia"/>
          <w:sz w:val="24"/>
        </w:rPr>
        <w:t>，素质教育更多地强调拓宽学生的知识面，强调提高学生的人文精神和人文素养，以提高大学生的文化品位、审美情趣和人文素养；通识课程的特点在于不同学科的知识相互通融，遇到问题时能够从比较开阔的、跨学科的视角进行思考，收集资料，与人交流合作，达到不同文化和不同专业之间的沟通融合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结合本校特点，本校通识课程内容将着力确立以下五个基本特性：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1，基本性：课程内容涉及人类文明中最根本、最重要、最不可或缺的质素；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2，主体性：课程内容直接或间接地建立人的主体性，引导学生能以本身为主体去看待知识，通过讨论、</w:t>
      </w:r>
      <w:r>
        <w:rPr>
          <w:rFonts w:ascii="黑体" w:eastAsia="黑体" w:hAnsi="黑体" w:hint="eastAsia"/>
          <w:sz w:val="24"/>
        </w:rPr>
        <w:t>思辨</w:t>
      </w:r>
      <w:r w:rsidRPr="00633C8C">
        <w:rPr>
          <w:rFonts w:ascii="黑体" w:eastAsia="黑体" w:hAnsi="黑体" w:hint="eastAsia"/>
          <w:sz w:val="24"/>
        </w:rPr>
        <w:t>、批判与比较，去了解自己，以及与自己相关的自然世界、社会环境及时代与文化；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3，多元性：课程内容该拓宽学生视野，养成尊重多元差异的人格与精神；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4，整合性：课程内容整合不同领域之知识，以启发学生的心智，拓展专业知识之直观与创意，并赋予新的诠释和内涵；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lastRenderedPageBreak/>
        <w:t xml:space="preserve">5，趣味性：课程内容探讨的问题具有一定的深度，能激发学生求知的兴趣。但问题的设定，不以学生须已修读系统性专业知识为前提，而讲授方式深入浅出，借由问题的探讨深化思维方法的训练。 </w:t>
      </w:r>
    </w:p>
    <w:p w:rsidR="0042231B" w:rsidRPr="005A1611" w:rsidRDefault="0042231B" w:rsidP="0042231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>
        <w:rPr>
          <w:rFonts w:ascii="黑体" w:eastAsia="黑体" w:hAnsi="黑体" w:hint="eastAsia"/>
          <w:sz w:val="24"/>
        </w:rPr>
        <w:t>教学形式</w:t>
      </w:r>
      <w:r w:rsidRPr="00633C8C">
        <w:rPr>
          <w:rFonts w:ascii="黑体" w:eastAsia="黑体" w:hAnsi="黑体" w:hint="eastAsia"/>
          <w:sz w:val="24"/>
        </w:rPr>
        <w:t>方面，积极探索研究性教学，强调大班授课与</w:t>
      </w:r>
      <w:r>
        <w:rPr>
          <w:rFonts w:ascii="黑体" w:eastAsia="黑体" w:hAnsi="黑体" w:hint="eastAsia"/>
          <w:sz w:val="24"/>
        </w:rPr>
        <w:t>小班研讨相结合，注重考核方式多样化，鼓励优质MOOCs申报通识课。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课程管理方面，通识课程属于“三三制”教改课程体系中的“通识通修课程模块”，每门课程2-3个学分，其中2学分课程总学时</w:t>
      </w:r>
      <w:r>
        <w:rPr>
          <w:rFonts w:ascii="黑体" w:eastAsia="黑体" w:hAnsi="黑体" w:hint="eastAsia"/>
          <w:sz w:val="24"/>
        </w:rPr>
        <w:t>不少于</w:t>
      </w:r>
      <w:r>
        <w:rPr>
          <w:rFonts w:ascii="黑体" w:eastAsia="黑体" w:hAnsi="黑体"/>
          <w:sz w:val="24"/>
        </w:rPr>
        <w:t>32</w:t>
      </w:r>
      <w:r>
        <w:rPr>
          <w:rFonts w:ascii="黑体" w:eastAsia="黑体" w:hAnsi="黑体" w:hint="eastAsia"/>
          <w:sz w:val="24"/>
        </w:rPr>
        <w:t>，</w:t>
      </w:r>
      <w:r w:rsidRPr="00633C8C">
        <w:rPr>
          <w:rFonts w:ascii="黑体" w:eastAsia="黑体" w:hAnsi="黑体" w:hint="eastAsia"/>
          <w:sz w:val="24"/>
        </w:rPr>
        <w:t>3学分课程总学时</w:t>
      </w:r>
      <w:r>
        <w:rPr>
          <w:rFonts w:ascii="黑体" w:eastAsia="黑体" w:hAnsi="黑体" w:hint="eastAsia"/>
          <w:sz w:val="24"/>
        </w:rPr>
        <w:t>不少于</w:t>
      </w:r>
      <w:r w:rsidRPr="00633C8C">
        <w:rPr>
          <w:rFonts w:ascii="黑体" w:eastAsia="黑体" w:hAnsi="黑体" w:hint="eastAsia"/>
          <w:sz w:val="24"/>
        </w:rPr>
        <w:t>48</w:t>
      </w:r>
      <w:r>
        <w:rPr>
          <w:rFonts w:ascii="黑体" w:eastAsia="黑体" w:hAnsi="黑体" w:hint="eastAsia"/>
          <w:sz w:val="24"/>
        </w:rPr>
        <w:t>；</w:t>
      </w:r>
      <w:r w:rsidRPr="00633C8C">
        <w:rPr>
          <w:rFonts w:ascii="黑体" w:eastAsia="黑体" w:hAnsi="黑体" w:hint="eastAsia"/>
          <w:sz w:val="24"/>
        </w:rPr>
        <w:t>课程班级人数一般在100-200人，授课对象为全校本科生。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</w:p>
    <w:p w:rsidR="0042231B" w:rsidRPr="00633C8C" w:rsidRDefault="0042231B" w:rsidP="0042231B">
      <w:pPr>
        <w:spacing w:line="360" w:lineRule="auto"/>
        <w:ind w:firstLineChars="200" w:firstLine="482"/>
        <w:rPr>
          <w:rFonts w:ascii="黑体" w:eastAsia="黑体" w:hAnsi="黑体"/>
          <w:b/>
          <w:sz w:val="24"/>
        </w:rPr>
      </w:pPr>
      <w:r w:rsidRPr="00633C8C">
        <w:rPr>
          <w:rFonts w:ascii="黑体" w:eastAsia="黑体" w:hAnsi="黑体" w:hint="eastAsia"/>
          <w:b/>
          <w:sz w:val="24"/>
        </w:rPr>
        <w:t>二、授课教师基本条件</w:t>
      </w:r>
    </w:p>
    <w:p w:rsidR="0042231B" w:rsidRDefault="0042231B" w:rsidP="0042231B">
      <w:pPr>
        <w:spacing w:line="360" w:lineRule="auto"/>
        <w:ind w:firstLineChars="200" w:firstLine="480"/>
        <w:rPr>
          <w:rFonts w:ascii="黑体" w:eastAsia="黑体" w:hAnsi="黑体" w:hint="eastAsia"/>
          <w:sz w:val="24"/>
        </w:rPr>
      </w:pPr>
      <w:r w:rsidRPr="00633C8C">
        <w:rPr>
          <w:rFonts w:ascii="黑体" w:eastAsia="黑体" w:hAnsi="黑体" w:hint="eastAsia"/>
          <w:sz w:val="24"/>
        </w:rPr>
        <w:t>课程主持人</w:t>
      </w:r>
      <w:r>
        <w:rPr>
          <w:rFonts w:ascii="黑体" w:eastAsia="黑体" w:hAnsi="黑体" w:hint="eastAsia"/>
          <w:sz w:val="24"/>
        </w:rPr>
        <w:t>须具备正教授职称，不受学科、专业或年龄限制。</w:t>
      </w:r>
      <w:r w:rsidRPr="00633C8C">
        <w:rPr>
          <w:rFonts w:ascii="黑体" w:eastAsia="黑体" w:hAnsi="黑体" w:hint="eastAsia"/>
          <w:sz w:val="24"/>
        </w:rPr>
        <w:t>提倡课程主持人独立授课，具有高屋建瓴的学术视野，丰富的本科教学经验，强烈的工作责任心，对通识教育有深刻认识和一定的实践经验。</w:t>
      </w:r>
    </w:p>
    <w:p w:rsidR="0042231B" w:rsidRPr="00633C8C" w:rsidRDefault="0042231B" w:rsidP="0042231B">
      <w:pPr>
        <w:spacing w:line="360" w:lineRule="auto"/>
        <w:ind w:firstLineChars="200" w:firstLine="480"/>
        <w:rPr>
          <w:rFonts w:ascii="黑体" w:eastAsia="黑体" w:hAnsi="黑体"/>
          <w:sz w:val="24"/>
        </w:rPr>
      </w:pPr>
      <w:r w:rsidRPr="00633C8C">
        <w:rPr>
          <w:rFonts w:ascii="黑体" w:eastAsia="黑体" w:hAnsi="黑体" w:hint="eastAsia"/>
          <w:sz w:val="24"/>
        </w:rPr>
        <w:t>如需采取团队教学模式，团队</w:t>
      </w:r>
      <w:r>
        <w:rPr>
          <w:rFonts w:ascii="黑体" w:eastAsia="黑体" w:hAnsi="黑体" w:hint="eastAsia"/>
          <w:sz w:val="24"/>
        </w:rPr>
        <w:t>总</w:t>
      </w:r>
      <w:r w:rsidRPr="00633C8C">
        <w:rPr>
          <w:rFonts w:ascii="黑体" w:eastAsia="黑体" w:hAnsi="黑体" w:hint="eastAsia"/>
          <w:sz w:val="24"/>
        </w:rPr>
        <w:t>人数一般不超过3人（不含助教），</w:t>
      </w:r>
      <w:r>
        <w:rPr>
          <w:rFonts w:ascii="黑体" w:eastAsia="黑体" w:hAnsi="黑体" w:hint="eastAsia"/>
          <w:sz w:val="24"/>
        </w:rPr>
        <w:t>团队所有成员原则上均需具备教授职称；课程主持人所承担的课时数一般不得少于总课时的1</w:t>
      </w:r>
      <w:r>
        <w:rPr>
          <w:rFonts w:ascii="黑体" w:eastAsia="黑体" w:hAnsi="黑体"/>
          <w:sz w:val="24"/>
        </w:rPr>
        <w:t>/2</w:t>
      </w:r>
      <w:r>
        <w:rPr>
          <w:rFonts w:ascii="黑体" w:eastAsia="黑体" w:hAnsi="黑体" w:hint="eastAsia"/>
          <w:sz w:val="24"/>
        </w:rPr>
        <w:t>，</w:t>
      </w:r>
      <w:r>
        <w:rPr>
          <w:rFonts w:ascii="黑体" w:eastAsia="黑体" w:hAnsi="黑体"/>
          <w:sz w:val="24"/>
        </w:rPr>
        <w:t>每人每次参与授课不少于</w:t>
      </w:r>
      <w:r>
        <w:rPr>
          <w:rFonts w:ascii="黑体" w:eastAsia="黑体" w:hAnsi="黑体" w:hint="eastAsia"/>
          <w:sz w:val="24"/>
        </w:rPr>
        <w:t>3课时；</w:t>
      </w:r>
      <w:r w:rsidRPr="00633C8C">
        <w:rPr>
          <w:rFonts w:ascii="黑体" w:eastAsia="黑体" w:hAnsi="黑体" w:hint="eastAsia"/>
          <w:sz w:val="24"/>
        </w:rPr>
        <w:t>鼓励跨学科组队</w:t>
      </w:r>
      <w:r>
        <w:rPr>
          <w:rFonts w:ascii="黑体" w:eastAsia="黑体" w:hAnsi="黑体" w:hint="eastAsia"/>
          <w:sz w:val="24"/>
        </w:rPr>
        <w:t>，鼓励引进校外优质师资</w:t>
      </w:r>
      <w:r w:rsidRPr="00633C8C">
        <w:rPr>
          <w:rFonts w:ascii="黑体" w:eastAsia="黑体" w:hAnsi="黑体" w:hint="eastAsia"/>
          <w:sz w:val="24"/>
        </w:rPr>
        <w:t>。课程团队须对教学内容、教材建设、考核办法、课程组织形式等重要环节进行前期深入准备，保证教学思路清晰、内容系统连贯。</w:t>
      </w:r>
    </w:p>
    <w:p w:rsidR="0042231B" w:rsidRPr="00633C8C" w:rsidRDefault="0042231B" w:rsidP="0042231B">
      <w:pPr>
        <w:pStyle w:val="a3"/>
        <w:rPr>
          <w:rFonts w:hint="eastAsia"/>
          <w:sz w:val="24"/>
        </w:rPr>
      </w:pPr>
    </w:p>
    <w:p w:rsidR="0042231B" w:rsidRDefault="0042231B" w:rsidP="0042231B">
      <w:pPr>
        <w:pStyle w:val="a3"/>
        <w:rPr>
          <w:rFonts w:ascii="黑体" w:eastAsia="黑体" w:hAnsi="黑体"/>
          <w:sz w:val="24"/>
        </w:rPr>
      </w:pPr>
      <w:r>
        <w:rPr>
          <w:sz w:val="24"/>
        </w:rPr>
        <w:br w:type="page"/>
      </w:r>
    </w:p>
    <w:p w:rsidR="0042231B" w:rsidRDefault="0042231B" w:rsidP="0042231B">
      <w:pPr>
        <w:pStyle w:val="a3"/>
        <w:rPr>
          <w:rFonts w:hint="eastAsia"/>
          <w:sz w:val="24"/>
        </w:rPr>
      </w:pPr>
      <w:bookmarkStart w:id="2" w:name="_GoBack"/>
      <w:bookmarkEnd w:id="2"/>
    </w:p>
    <w:p w:rsidR="0042231B" w:rsidRPr="001F1F26" w:rsidRDefault="0042231B" w:rsidP="0042231B">
      <w:pPr>
        <w:rPr>
          <w:rFonts w:ascii="宋体" w:hAnsi="宋体" w:hint="eastAsia"/>
          <w:b/>
          <w:bCs/>
          <w:color w:val="0000FF"/>
          <w:sz w:val="24"/>
        </w:rPr>
      </w:pPr>
      <w:r w:rsidRPr="001F1F26">
        <w:rPr>
          <w:rFonts w:ascii="宋体" w:hAnsi="宋体" w:hint="eastAsia"/>
          <w:b/>
          <w:bCs/>
          <w:color w:val="0000FF"/>
          <w:sz w:val="24"/>
        </w:rPr>
        <w:t>请在此提供</w:t>
      </w:r>
      <w:r>
        <w:rPr>
          <w:rFonts w:ascii="宋体" w:hAnsi="宋体" w:hint="eastAsia"/>
          <w:b/>
          <w:bCs/>
          <w:color w:val="0000FF"/>
          <w:sz w:val="24"/>
        </w:rPr>
        <w:t>“</w:t>
      </w:r>
      <w:r w:rsidRPr="001F1F26">
        <w:rPr>
          <w:rFonts w:ascii="宋体" w:hAnsi="宋体" w:hint="eastAsia"/>
          <w:b/>
          <w:bCs/>
          <w:color w:val="0000FF"/>
          <w:sz w:val="24"/>
        </w:rPr>
        <w:t>通识课</w:t>
      </w:r>
      <w:r>
        <w:rPr>
          <w:rFonts w:ascii="宋体" w:hAnsi="宋体" w:hint="eastAsia"/>
          <w:b/>
          <w:bCs/>
          <w:color w:val="0000FF"/>
          <w:sz w:val="24"/>
        </w:rPr>
        <w:t>”</w:t>
      </w:r>
      <w:r w:rsidRPr="001F1F26">
        <w:rPr>
          <w:rFonts w:ascii="宋体" w:hAnsi="宋体" w:hint="eastAsia"/>
          <w:b/>
          <w:bCs/>
          <w:color w:val="0000FF"/>
          <w:sz w:val="24"/>
        </w:rPr>
        <w:t>中文名称</w:t>
      </w:r>
    </w:p>
    <w:p w:rsidR="0042231B" w:rsidRDefault="0042231B" w:rsidP="0042231B">
      <w:pPr>
        <w:rPr>
          <w:rFonts w:ascii="宋体" w:hAnsi="宋体" w:hint="eastAsia"/>
          <w:b/>
          <w:bCs/>
          <w:color w:val="0000FF"/>
          <w:sz w:val="24"/>
        </w:rPr>
      </w:pPr>
    </w:p>
    <w:p w:rsidR="0042231B" w:rsidRPr="001F1F26" w:rsidRDefault="0042231B" w:rsidP="0042231B">
      <w:pPr>
        <w:rPr>
          <w:rFonts w:ascii="宋体" w:hAnsi="宋体" w:hint="eastAsia"/>
          <w:b/>
          <w:bCs/>
          <w:color w:val="0000FF"/>
          <w:sz w:val="24"/>
        </w:rPr>
      </w:pPr>
      <w:r w:rsidRPr="001F1F26">
        <w:rPr>
          <w:rFonts w:ascii="宋体" w:hAnsi="宋体" w:hint="eastAsia"/>
          <w:b/>
          <w:bCs/>
          <w:color w:val="0000FF"/>
          <w:sz w:val="24"/>
        </w:rPr>
        <w:t>请在此提供</w:t>
      </w:r>
      <w:r>
        <w:rPr>
          <w:rFonts w:ascii="宋体" w:hAnsi="宋体" w:hint="eastAsia"/>
          <w:b/>
          <w:bCs/>
          <w:color w:val="0000FF"/>
          <w:sz w:val="24"/>
        </w:rPr>
        <w:t>“</w:t>
      </w:r>
      <w:r w:rsidRPr="001F1F26">
        <w:rPr>
          <w:rFonts w:ascii="宋体" w:hAnsi="宋体" w:hint="eastAsia"/>
          <w:b/>
          <w:bCs/>
          <w:color w:val="0000FF"/>
          <w:sz w:val="24"/>
        </w:rPr>
        <w:t>通识课</w:t>
      </w:r>
      <w:r>
        <w:rPr>
          <w:rFonts w:ascii="宋体" w:hAnsi="宋体" w:hint="eastAsia"/>
          <w:b/>
          <w:bCs/>
          <w:color w:val="0000FF"/>
          <w:sz w:val="24"/>
        </w:rPr>
        <w:t>”</w:t>
      </w:r>
      <w:r w:rsidRPr="001F1F26">
        <w:rPr>
          <w:rFonts w:ascii="宋体" w:hAnsi="宋体" w:hint="eastAsia"/>
          <w:b/>
          <w:bCs/>
          <w:color w:val="0000FF"/>
          <w:sz w:val="24"/>
        </w:rPr>
        <w:t>英文名称</w:t>
      </w:r>
    </w:p>
    <w:p w:rsidR="0042231B" w:rsidRPr="00703418" w:rsidRDefault="0042231B" w:rsidP="0042231B">
      <w:pPr>
        <w:rPr>
          <w:rFonts w:ascii="仿宋_GB2312" w:eastAsia="仿宋_GB2312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课程类别：</w:t>
      </w:r>
      <w:r w:rsidRPr="001F1F26">
        <w:rPr>
          <w:rFonts w:ascii="宋体" w:hAnsi="宋体" w:hint="eastAsia"/>
          <w:sz w:val="24"/>
        </w:rPr>
        <w:t>（参照</w:t>
      </w:r>
      <w:r>
        <w:rPr>
          <w:rFonts w:ascii="宋体" w:hAnsi="宋体" w:hint="eastAsia"/>
          <w:sz w:val="24"/>
        </w:rPr>
        <w:t>“通识课程建设要求”</w:t>
      </w:r>
      <w:r w:rsidRPr="001F1F26">
        <w:rPr>
          <w:rFonts w:ascii="宋体" w:hAnsi="宋体" w:hint="eastAsia"/>
          <w:sz w:val="24"/>
        </w:rPr>
        <w:t>中的七大类</w:t>
      </w:r>
      <w:r>
        <w:rPr>
          <w:rFonts w:ascii="宋体" w:hAnsi="宋体" w:hint="eastAsia"/>
          <w:sz w:val="24"/>
        </w:rPr>
        <w:t>别</w:t>
      </w:r>
      <w:r w:rsidRPr="001F1F26">
        <w:rPr>
          <w:rFonts w:ascii="宋体" w:hAnsi="宋体" w:hint="eastAsia"/>
          <w:sz w:val="24"/>
        </w:rPr>
        <w:t>）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 xml:space="preserve">主讲教师：　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职称：</w:t>
      </w:r>
      <w:r w:rsidRPr="001F1F26">
        <w:rPr>
          <w:rFonts w:ascii="宋体" w:hAnsi="宋体" w:hint="eastAsia"/>
          <w:sz w:val="24"/>
        </w:rPr>
        <w:t xml:space="preserve">   　</w:t>
      </w:r>
      <w:r w:rsidRPr="001F1F26">
        <w:rPr>
          <w:rFonts w:ascii="宋体" w:hAnsi="宋体" w:hint="eastAsia"/>
          <w:b/>
          <w:sz w:val="24"/>
        </w:rPr>
        <w:t>研究专长：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所在院系：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联系电话：</w:t>
      </w:r>
      <w:r w:rsidRPr="001F1F26">
        <w:rPr>
          <w:rFonts w:ascii="宋体" w:hAnsi="宋体" w:hint="eastAsia"/>
          <w:sz w:val="24"/>
        </w:rPr>
        <w:t xml:space="preserve">   </w:t>
      </w:r>
      <w:r w:rsidRPr="001F1F26">
        <w:rPr>
          <w:rFonts w:ascii="宋体" w:hAnsi="宋体" w:hint="eastAsia"/>
          <w:b/>
          <w:sz w:val="24"/>
        </w:rPr>
        <w:t>联系电邮：</w:t>
      </w:r>
      <w:r w:rsidRPr="001F1F26">
        <w:rPr>
          <w:rFonts w:ascii="宋体" w:hAnsi="宋体" w:hint="eastAsia"/>
          <w:sz w:val="24"/>
        </w:rPr>
        <w:t xml:space="preserve"> 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一、教师简介：</w:t>
      </w:r>
      <w:r w:rsidRPr="001F1F26">
        <w:rPr>
          <w:rFonts w:ascii="宋体" w:hAnsi="宋体" w:hint="eastAsia"/>
          <w:sz w:val="24"/>
        </w:rPr>
        <w:t>请提供所有授课教师简介（不含助教），包括教育经历、科研情况、获奖兼职情况，每人限300字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领衔教师：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团队成员：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 xml:space="preserve">二、课程简介： 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三、课程目标：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b/>
          <w:sz w:val="24"/>
        </w:rPr>
      </w:pPr>
      <w:r w:rsidRPr="001F1F26">
        <w:rPr>
          <w:rFonts w:ascii="宋体" w:hAnsi="宋体" w:hint="eastAsia"/>
          <w:b/>
          <w:sz w:val="24"/>
        </w:rPr>
        <w:t>四、教材及参考资源：</w:t>
      </w: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五、教学方式：</w:t>
      </w:r>
    </w:p>
    <w:p w:rsidR="0042231B" w:rsidRPr="00703418" w:rsidRDefault="0042231B" w:rsidP="0042231B">
      <w:pPr>
        <w:spacing w:line="360" w:lineRule="auto"/>
        <w:rPr>
          <w:rFonts w:ascii="仿宋_GB2312" w:eastAsia="仿宋_GB2312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六、教学大纲</w:t>
      </w:r>
      <w:r>
        <w:rPr>
          <w:rFonts w:ascii="宋体" w:hAnsi="宋体" w:hint="eastAsia"/>
          <w:b/>
          <w:sz w:val="24"/>
        </w:rPr>
        <w:t>（</w:t>
      </w:r>
      <w:r w:rsidRPr="00233E44">
        <w:rPr>
          <w:rFonts w:ascii="宋体" w:hAnsi="宋体" w:hint="eastAsia"/>
          <w:b/>
          <w:sz w:val="24"/>
        </w:rPr>
        <w:t>2学分课程总学时不少于32，3学分课程总学时不少于48</w:t>
      </w:r>
      <w:r>
        <w:rPr>
          <w:rFonts w:ascii="宋体" w:hAnsi="宋体" w:hint="eastAsia"/>
          <w:b/>
          <w:sz w:val="24"/>
        </w:rPr>
        <w:t>）</w:t>
      </w:r>
      <w:r w:rsidRPr="001F1F26">
        <w:rPr>
          <w:rFonts w:ascii="宋体" w:hAnsi="宋体" w:hint="eastAsia"/>
          <w:b/>
          <w:sz w:val="24"/>
        </w:rPr>
        <w:t>：</w:t>
      </w:r>
    </w:p>
    <w:p w:rsidR="0042231B" w:rsidRPr="00233E44" w:rsidRDefault="0042231B" w:rsidP="0042231B">
      <w:pPr>
        <w:spacing w:line="360" w:lineRule="auto"/>
        <w:rPr>
          <w:rFonts w:ascii="宋体" w:hAnsi="宋体" w:hint="eastAsia"/>
          <w:sz w:val="24"/>
        </w:rPr>
      </w:pPr>
    </w:p>
    <w:p w:rsidR="0042231B" w:rsidRPr="001F1F26" w:rsidRDefault="0042231B" w:rsidP="0042231B">
      <w:pPr>
        <w:spacing w:line="360" w:lineRule="auto"/>
        <w:rPr>
          <w:rFonts w:ascii="宋体" w:hAnsi="宋体" w:hint="eastAsia"/>
          <w:sz w:val="24"/>
        </w:rPr>
      </w:pPr>
      <w:r w:rsidRPr="001F1F26">
        <w:rPr>
          <w:rFonts w:ascii="宋体" w:hAnsi="宋体" w:hint="eastAsia"/>
          <w:b/>
          <w:sz w:val="24"/>
        </w:rPr>
        <w:t>七、考核方法：</w:t>
      </w:r>
    </w:p>
    <w:p w:rsidR="0042231B" w:rsidRPr="00703418" w:rsidRDefault="0042231B" w:rsidP="0042231B">
      <w:pPr>
        <w:spacing w:line="360" w:lineRule="auto"/>
        <w:rPr>
          <w:rFonts w:ascii="仿宋_GB2312" w:eastAsia="仿宋_GB2312" w:hint="eastAsia"/>
          <w:sz w:val="24"/>
        </w:rPr>
      </w:pPr>
    </w:p>
    <w:p w:rsidR="0042231B" w:rsidRDefault="0042231B" w:rsidP="0042231B">
      <w:pPr>
        <w:pStyle w:val="a3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八</w:t>
      </w:r>
      <w:r w:rsidRPr="00DD28DC">
        <w:rPr>
          <w:rFonts w:hint="eastAsia"/>
          <w:b/>
          <w:bCs/>
          <w:sz w:val="24"/>
        </w:rPr>
        <w:t>、所在</w:t>
      </w:r>
      <w:r>
        <w:rPr>
          <w:rFonts w:hint="eastAsia"/>
          <w:b/>
          <w:bCs/>
          <w:sz w:val="24"/>
        </w:rPr>
        <w:t>院系</w:t>
      </w:r>
      <w:r w:rsidRPr="00DD28DC">
        <w:rPr>
          <w:rFonts w:hint="eastAsia"/>
          <w:b/>
          <w:bCs/>
          <w:sz w:val="24"/>
        </w:rPr>
        <w:t>意见</w:t>
      </w:r>
      <w:r>
        <w:rPr>
          <w:rFonts w:hint="eastAsia"/>
          <w:b/>
          <w:bCs/>
          <w:sz w:val="24"/>
        </w:rPr>
        <w:t>：</w:t>
      </w:r>
    </w:p>
    <w:p w:rsidR="0042231B" w:rsidRDefault="0042231B" w:rsidP="0042231B">
      <w:pPr>
        <w:pStyle w:val="a3"/>
        <w:rPr>
          <w:b/>
          <w:bCs/>
          <w:sz w:val="24"/>
        </w:rPr>
      </w:pPr>
    </w:p>
    <w:p w:rsidR="0042231B" w:rsidRPr="005253A0" w:rsidRDefault="0042231B" w:rsidP="0042231B">
      <w:pPr>
        <w:pStyle w:val="a3"/>
        <w:rPr>
          <w:rFonts w:hint="eastAsia"/>
          <w:b/>
          <w:bCs/>
          <w:sz w:val="24"/>
        </w:rPr>
      </w:pPr>
    </w:p>
    <w:p w:rsidR="008C7AD8" w:rsidRPr="0042231B" w:rsidRDefault="008C7AD8"/>
    <w:sectPr w:rsidR="008C7AD8" w:rsidRPr="0042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31B"/>
    <w:rsid w:val="0042231B"/>
    <w:rsid w:val="008C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1CCEC-A821-48FF-963B-40CF0D4E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2231B"/>
    <w:pPr>
      <w:spacing w:after="120"/>
    </w:pPr>
  </w:style>
  <w:style w:type="character" w:customStyle="1" w:styleId="Char">
    <w:name w:val="正文文本 Char"/>
    <w:basedOn w:val="a0"/>
    <w:link w:val="a3"/>
    <w:rsid w:val="0042231B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238</Words>
  <Characters>1361</Characters>
  <Application>Microsoft Office Word</Application>
  <DocSecurity>0</DocSecurity>
  <Lines>11</Lines>
  <Paragraphs>3</Paragraphs>
  <ScaleCrop>false</ScaleCrop>
  <Company>微软中国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2015-04-08T06:26:00Z</dcterms:created>
  <dcterms:modified xsi:type="dcterms:W3CDTF">2015-04-08T06:28:00Z</dcterms:modified>
</cp:coreProperties>
</file>