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0F9" w:rsidRPr="00480262" w:rsidRDefault="007E2C74">
      <w:pPr>
        <w:jc w:val="center"/>
        <w:rPr>
          <w:rFonts w:ascii="方正小标宋简体" w:eastAsia="方正小标宋简体"/>
          <w:b/>
          <w:sz w:val="32"/>
          <w:szCs w:val="32"/>
        </w:rPr>
      </w:pPr>
      <w:r w:rsidRPr="00480262">
        <w:rPr>
          <w:rFonts w:ascii="方正小标宋简体" w:eastAsia="方正小标宋简体" w:hint="eastAsia"/>
          <w:b/>
          <w:sz w:val="32"/>
          <w:szCs w:val="32"/>
        </w:rPr>
        <w:t>南京大学新生研讨课建设方案</w:t>
      </w:r>
    </w:p>
    <w:p w:rsidR="009440F9" w:rsidRDefault="009440F9">
      <w:pPr>
        <w:rPr>
          <w:rFonts w:ascii="仿宋_GB2312" w:eastAsia="仿宋_GB2312"/>
          <w:sz w:val="28"/>
          <w:szCs w:val="28"/>
        </w:rPr>
      </w:pPr>
    </w:p>
    <w:p w:rsidR="009440F9" w:rsidRDefault="007E2C74" w:rsidP="00480262">
      <w:pPr>
        <w:autoSpaceDE/>
        <w:autoSpaceDN/>
        <w:spacing w:line="500" w:lineRule="exact"/>
        <w:ind w:firstLineChars="200" w:firstLine="562"/>
        <w:jc w:val="both"/>
        <w:rPr>
          <w:rFonts w:ascii="黑体" w:eastAsia="黑体" w:hAnsi="黑体" w:cs="Times New Roman"/>
          <w:b/>
          <w:bCs/>
          <w:kern w:val="2"/>
          <w:sz w:val="28"/>
          <w:szCs w:val="28"/>
          <w:lang w:val="en-US" w:bidi="ar-SA"/>
        </w:rPr>
      </w:pPr>
      <w:r>
        <w:rPr>
          <w:rFonts w:ascii="黑体" w:eastAsia="黑体" w:hAnsi="黑体" w:cs="Times New Roman" w:hint="eastAsia"/>
          <w:b/>
          <w:bCs/>
          <w:kern w:val="2"/>
          <w:sz w:val="28"/>
          <w:szCs w:val="28"/>
          <w:lang w:val="en-US" w:bidi="ar-SA"/>
        </w:rPr>
        <w:t>一、建设要求</w:t>
      </w:r>
    </w:p>
    <w:p w:rsidR="009440F9" w:rsidRDefault="007E2C74" w:rsidP="00480262">
      <w:pPr>
        <w:autoSpaceDE/>
        <w:autoSpaceDN/>
        <w:adjustRightInd w:val="0"/>
        <w:snapToGrid w:val="0"/>
        <w:spacing w:line="500" w:lineRule="exact"/>
        <w:ind w:firstLineChars="200" w:firstLine="560"/>
        <w:jc w:val="both"/>
        <w:rPr>
          <w:rFonts w:ascii="仿宋_GB2312" w:eastAsia="仿宋_GB2312" w:hAnsiTheme="minorEastAsia" w:cs="Times New Roman"/>
          <w:bCs/>
          <w:kern w:val="2"/>
          <w:sz w:val="28"/>
          <w:szCs w:val="28"/>
          <w:lang w:val="en-US" w:bidi="ar-SA"/>
        </w:rPr>
      </w:pPr>
      <w:r>
        <w:rPr>
          <w:rFonts w:ascii="仿宋_GB2312" w:eastAsia="仿宋_GB2312" w:hAnsiTheme="minorEastAsia" w:cs="Times New Roman" w:hint="eastAsia"/>
          <w:bCs/>
          <w:kern w:val="2"/>
          <w:sz w:val="28"/>
          <w:szCs w:val="28"/>
          <w:lang w:val="en-US" w:bidi="ar-SA"/>
        </w:rPr>
        <w:t>新生研讨课是南京大学本科生通识教育的重要组成部分，在全校推行已有十余年的历程。作为面向全校大</w:t>
      </w:r>
      <w:proofErr w:type="gramStart"/>
      <w:r>
        <w:rPr>
          <w:rFonts w:ascii="仿宋_GB2312" w:eastAsia="仿宋_GB2312" w:hAnsiTheme="minorEastAsia" w:cs="Times New Roman" w:hint="eastAsia"/>
          <w:bCs/>
          <w:kern w:val="2"/>
          <w:sz w:val="28"/>
          <w:szCs w:val="28"/>
          <w:lang w:val="en-US" w:bidi="ar-SA"/>
        </w:rPr>
        <w:t>一</w:t>
      </w:r>
      <w:proofErr w:type="gramEnd"/>
      <w:r>
        <w:rPr>
          <w:rFonts w:ascii="仿宋_GB2312" w:eastAsia="仿宋_GB2312" w:hAnsiTheme="minorEastAsia" w:cs="Times New Roman" w:hint="eastAsia"/>
          <w:bCs/>
          <w:kern w:val="2"/>
          <w:sz w:val="28"/>
          <w:szCs w:val="28"/>
          <w:lang w:val="en-US" w:bidi="ar-SA"/>
        </w:rPr>
        <w:t>新生自由选修的一类课程，它为广大师生提供了一个独特的教与学经历，帮助新生顺利完成从高中教育向大学自主性、学术性学习的适应和转换。</w:t>
      </w:r>
    </w:p>
    <w:p w:rsidR="009440F9" w:rsidRDefault="007E2C74" w:rsidP="00480262">
      <w:pPr>
        <w:autoSpaceDE/>
        <w:autoSpaceDN/>
        <w:adjustRightInd w:val="0"/>
        <w:snapToGrid w:val="0"/>
        <w:spacing w:line="500" w:lineRule="exact"/>
        <w:ind w:firstLineChars="200" w:firstLine="560"/>
        <w:jc w:val="both"/>
        <w:rPr>
          <w:rFonts w:ascii="仿宋_GB2312" w:eastAsia="仿宋_GB2312" w:hAnsiTheme="minorEastAsia" w:cs="Times New Roman"/>
          <w:bCs/>
          <w:kern w:val="2"/>
          <w:sz w:val="28"/>
          <w:szCs w:val="28"/>
          <w:lang w:val="en-US" w:bidi="ar-SA"/>
        </w:rPr>
      </w:pPr>
      <w:r>
        <w:rPr>
          <w:rFonts w:ascii="仿宋_GB2312" w:eastAsia="仿宋_GB2312" w:hAnsiTheme="minorEastAsia" w:cs="Times New Roman" w:hint="eastAsia"/>
          <w:bCs/>
          <w:kern w:val="2"/>
          <w:sz w:val="28"/>
          <w:szCs w:val="28"/>
          <w:lang w:val="en-US" w:bidi="ar-SA"/>
        </w:rPr>
        <w:t>新生研讨课不仅使新生学习专业知识，了解学科前沿；更重要的是，让新生通过高水平教授的引导，在主动参与和充分交流中启发研究和探索的兴趣，学习科学的思维方式与研究方法，培养创新意识与创新能力。新生研讨</w:t>
      </w:r>
      <w:proofErr w:type="gramStart"/>
      <w:r>
        <w:rPr>
          <w:rFonts w:ascii="仿宋_GB2312" w:eastAsia="仿宋_GB2312" w:hAnsiTheme="minorEastAsia" w:cs="Times New Roman" w:hint="eastAsia"/>
          <w:bCs/>
          <w:kern w:val="2"/>
          <w:sz w:val="28"/>
          <w:szCs w:val="28"/>
          <w:lang w:val="en-US" w:bidi="ar-SA"/>
        </w:rPr>
        <w:t>课特别</w:t>
      </w:r>
      <w:proofErr w:type="gramEnd"/>
      <w:r>
        <w:rPr>
          <w:rFonts w:ascii="仿宋_GB2312" w:eastAsia="仿宋_GB2312" w:hAnsiTheme="minorEastAsia" w:cs="Times New Roman" w:hint="eastAsia"/>
          <w:bCs/>
          <w:kern w:val="2"/>
          <w:sz w:val="28"/>
          <w:szCs w:val="28"/>
          <w:lang w:val="en-US" w:bidi="ar-SA"/>
        </w:rPr>
        <w:t>注重学生的过程体验。因此，新生研讨课的侧重点不在于知识学习的系统性，而是注重学生通过团队合作学习，体验到学术活动的一般过程，在实践中形成科学的思维方式，从而提高自身的研究素养和创新意识，</w:t>
      </w:r>
    </w:p>
    <w:p w:rsidR="009440F9" w:rsidRDefault="007E2C74" w:rsidP="00480262">
      <w:pPr>
        <w:autoSpaceDE/>
        <w:autoSpaceDN/>
        <w:adjustRightInd w:val="0"/>
        <w:snapToGrid w:val="0"/>
        <w:spacing w:line="500" w:lineRule="exact"/>
        <w:ind w:firstLineChars="200" w:firstLine="560"/>
        <w:jc w:val="both"/>
        <w:rPr>
          <w:rFonts w:ascii="黑体" w:eastAsia="黑体" w:hAnsi="黑体" w:cs="Times New Roman"/>
          <w:b/>
          <w:bCs/>
          <w:kern w:val="2"/>
          <w:sz w:val="28"/>
          <w:szCs w:val="28"/>
          <w:lang w:val="en-US" w:bidi="ar-SA"/>
        </w:rPr>
      </w:pPr>
      <w:r>
        <w:rPr>
          <w:rFonts w:ascii="仿宋_GB2312" w:eastAsia="仿宋_GB2312" w:hAnsiTheme="minorEastAsia" w:cs="Times New Roman" w:hint="eastAsia"/>
          <w:bCs/>
          <w:kern w:val="2"/>
          <w:sz w:val="28"/>
          <w:szCs w:val="28"/>
          <w:lang w:val="en-US" w:bidi="ar-SA"/>
        </w:rPr>
        <w:t>多年实践表明，一门优秀的新生研讨课，往往在潜移默化中，引导新生端正学风、</w:t>
      </w:r>
      <w:r>
        <w:rPr>
          <w:rFonts w:ascii="仿宋_GB2312" w:eastAsia="仿宋_GB2312" w:hAnsiTheme="minorEastAsia" w:cs="Times New Roman"/>
          <w:bCs/>
          <w:kern w:val="2"/>
          <w:sz w:val="28"/>
          <w:szCs w:val="28"/>
          <w:lang w:val="en-US" w:bidi="ar-SA"/>
        </w:rPr>
        <w:t xml:space="preserve"> 严谨治学，确立科学精神、锤炼品行情操；学生能尽快地从中学生的思维方式和学习方法提升到大学阶段的科学思维、创新思维及自主学习；通过课堂上的师生互动、生生互动，使来自不同学科背景的学生拓展学术视野，激发创新思维；</w:t>
      </w:r>
      <w:r>
        <w:rPr>
          <w:rFonts w:ascii="仿宋_GB2312" w:eastAsia="仿宋_GB2312" w:hAnsiTheme="minorEastAsia" w:cs="Times New Roman" w:hint="eastAsia"/>
          <w:bCs/>
          <w:kern w:val="2"/>
          <w:sz w:val="28"/>
          <w:szCs w:val="28"/>
          <w:lang w:val="en-US" w:bidi="ar-SA"/>
        </w:rPr>
        <w:t>通过</w:t>
      </w:r>
      <w:r>
        <w:rPr>
          <w:rFonts w:ascii="仿宋_GB2312" w:eastAsia="仿宋_GB2312" w:hAnsiTheme="minorEastAsia" w:cs="Times New Roman"/>
          <w:bCs/>
          <w:kern w:val="2"/>
          <w:sz w:val="28"/>
          <w:szCs w:val="28"/>
          <w:lang w:val="en-US" w:bidi="ar-SA"/>
        </w:rPr>
        <w:t>团队式学习，学生将学会如何与他人合作；通过灵活多样的教学方式，学生的书面及口头表达能力也将得到充分的训练和提高。</w:t>
      </w:r>
    </w:p>
    <w:p w:rsidR="009440F9" w:rsidRDefault="007E2C74">
      <w:pPr>
        <w:autoSpaceDE/>
        <w:autoSpaceDN/>
        <w:spacing w:line="360" w:lineRule="auto"/>
        <w:ind w:firstLineChars="200" w:firstLine="562"/>
        <w:jc w:val="both"/>
        <w:rPr>
          <w:rFonts w:ascii="黑体" w:eastAsia="黑体" w:hAnsi="黑体" w:cs="Times New Roman"/>
          <w:b/>
          <w:bCs/>
          <w:kern w:val="2"/>
          <w:sz w:val="28"/>
          <w:szCs w:val="28"/>
          <w:lang w:val="en-US" w:bidi="ar-SA"/>
        </w:rPr>
      </w:pPr>
      <w:r>
        <w:rPr>
          <w:rFonts w:ascii="黑体" w:eastAsia="黑体" w:hAnsi="黑体" w:cs="Times New Roman" w:hint="eastAsia"/>
          <w:b/>
          <w:bCs/>
          <w:kern w:val="2"/>
          <w:sz w:val="28"/>
          <w:szCs w:val="28"/>
          <w:lang w:val="en-US" w:bidi="ar-SA"/>
        </w:rPr>
        <w:t>二、</w:t>
      </w:r>
      <w:r w:rsidR="00582BE0">
        <w:rPr>
          <w:rFonts w:ascii="黑体" w:eastAsia="黑体" w:hAnsi="黑体" w:cs="Times New Roman" w:hint="eastAsia"/>
          <w:b/>
          <w:bCs/>
          <w:kern w:val="2"/>
          <w:sz w:val="28"/>
          <w:szCs w:val="28"/>
          <w:lang w:val="en-US" w:bidi="ar-SA"/>
        </w:rPr>
        <w:t>建设</w:t>
      </w:r>
      <w:r>
        <w:rPr>
          <w:rFonts w:ascii="黑体" w:eastAsia="黑体" w:hAnsi="黑体" w:cs="Times New Roman" w:hint="eastAsia"/>
          <w:b/>
          <w:bCs/>
          <w:kern w:val="2"/>
          <w:sz w:val="28"/>
          <w:szCs w:val="28"/>
          <w:lang w:val="en-US" w:bidi="ar-SA"/>
        </w:rPr>
        <w:t>标准</w:t>
      </w:r>
      <w:r w:rsidR="00582BE0">
        <w:rPr>
          <w:rFonts w:ascii="黑体" w:eastAsia="黑体" w:hAnsi="黑体" w:cs="Times New Roman" w:hint="eastAsia"/>
          <w:b/>
          <w:bCs/>
          <w:kern w:val="2"/>
          <w:sz w:val="28"/>
          <w:szCs w:val="28"/>
          <w:lang w:val="en-US" w:bidi="ar-SA"/>
        </w:rPr>
        <w:t>（试行）</w:t>
      </w:r>
    </w:p>
    <w:tbl>
      <w:tblPr>
        <w:tblW w:w="8789" w:type="dxa"/>
        <w:tblInd w:w="-10" w:type="dxa"/>
        <w:tblLook w:val="04A0" w:firstRow="1" w:lastRow="0" w:firstColumn="1" w:lastColumn="0" w:noHBand="0" w:noVBand="1"/>
      </w:tblPr>
      <w:tblGrid>
        <w:gridCol w:w="1620"/>
        <w:gridCol w:w="7169"/>
      </w:tblGrid>
      <w:tr w:rsidR="009440F9">
        <w:trPr>
          <w:trHeight w:val="585"/>
        </w:trPr>
        <w:tc>
          <w:tcPr>
            <w:tcW w:w="1620" w:type="dxa"/>
            <w:tcBorders>
              <w:top w:val="single" w:sz="8" w:space="0" w:color="auto"/>
              <w:left w:val="single" w:sz="8" w:space="0" w:color="auto"/>
              <w:bottom w:val="single" w:sz="8" w:space="0" w:color="auto"/>
              <w:right w:val="single" w:sz="8" w:space="0" w:color="auto"/>
            </w:tcBorders>
            <w:shd w:val="clear" w:color="auto" w:fill="auto"/>
            <w:vAlign w:val="center"/>
          </w:tcPr>
          <w:p w:rsidR="009440F9" w:rsidRDefault="007E2C74">
            <w:pPr>
              <w:widowControl/>
              <w:autoSpaceDE/>
              <w:autoSpaceDN/>
              <w:jc w:val="center"/>
              <w:rPr>
                <w:rFonts w:ascii="黑体" w:eastAsia="黑体" w:hAnsi="黑体"/>
                <w:color w:val="000000"/>
                <w:sz w:val="24"/>
                <w:szCs w:val="24"/>
                <w:lang w:val="en-US" w:bidi="ar-SA"/>
              </w:rPr>
            </w:pPr>
            <w:r>
              <w:rPr>
                <w:rFonts w:ascii="黑体" w:eastAsia="黑体" w:hAnsi="黑体" w:hint="eastAsia"/>
                <w:color w:val="000000"/>
                <w:sz w:val="24"/>
                <w:szCs w:val="24"/>
                <w:lang w:val="en-US" w:bidi="ar-SA"/>
              </w:rPr>
              <w:t>维度</w:t>
            </w:r>
          </w:p>
        </w:tc>
        <w:tc>
          <w:tcPr>
            <w:tcW w:w="7169" w:type="dxa"/>
            <w:tcBorders>
              <w:top w:val="single" w:sz="8" w:space="0" w:color="auto"/>
              <w:left w:val="nil"/>
              <w:bottom w:val="single" w:sz="8" w:space="0" w:color="auto"/>
              <w:right w:val="single" w:sz="8" w:space="0" w:color="auto"/>
            </w:tcBorders>
            <w:shd w:val="clear" w:color="auto" w:fill="auto"/>
            <w:vAlign w:val="center"/>
          </w:tcPr>
          <w:p w:rsidR="009440F9" w:rsidRDefault="007E2C74">
            <w:pPr>
              <w:widowControl/>
              <w:autoSpaceDE/>
              <w:autoSpaceDN/>
              <w:jc w:val="center"/>
              <w:rPr>
                <w:rFonts w:ascii="黑体" w:eastAsia="黑体" w:hAnsi="黑体"/>
                <w:color w:val="000000"/>
                <w:sz w:val="24"/>
                <w:szCs w:val="24"/>
                <w:lang w:val="en-US" w:bidi="ar-SA"/>
              </w:rPr>
            </w:pPr>
            <w:r>
              <w:rPr>
                <w:rFonts w:ascii="黑体" w:eastAsia="黑体" w:hAnsi="黑体" w:hint="eastAsia"/>
                <w:color w:val="000000"/>
                <w:sz w:val="24"/>
                <w:szCs w:val="24"/>
                <w:lang w:val="en-US" w:bidi="ar-SA"/>
              </w:rPr>
              <w:t>主要内容</w:t>
            </w:r>
          </w:p>
        </w:tc>
      </w:tr>
      <w:tr w:rsidR="009440F9">
        <w:trPr>
          <w:trHeight w:val="285"/>
        </w:trPr>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9440F9" w:rsidRDefault="007E2C74">
            <w:pPr>
              <w:widowControl/>
              <w:autoSpaceDE/>
              <w:autoSpaceDN/>
              <w:jc w:val="center"/>
              <w:rPr>
                <w:rFonts w:ascii="黑体" w:eastAsia="黑体" w:hAnsi="黑体"/>
                <w:color w:val="000000"/>
                <w:sz w:val="24"/>
                <w:szCs w:val="24"/>
                <w:lang w:val="en-US" w:bidi="ar-SA"/>
              </w:rPr>
            </w:pPr>
            <w:r>
              <w:rPr>
                <w:rFonts w:ascii="黑体" w:eastAsia="黑体" w:hAnsi="黑体" w:hint="eastAsia"/>
                <w:color w:val="000000"/>
                <w:sz w:val="24"/>
                <w:szCs w:val="24"/>
                <w:lang w:val="en-US" w:bidi="ar-SA"/>
              </w:rPr>
              <w:t>课程定位</w:t>
            </w:r>
          </w:p>
        </w:tc>
        <w:tc>
          <w:tcPr>
            <w:tcW w:w="7169" w:type="dxa"/>
            <w:tcBorders>
              <w:top w:val="nil"/>
              <w:left w:val="nil"/>
              <w:bottom w:val="nil"/>
              <w:right w:val="single" w:sz="8" w:space="0" w:color="auto"/>
            </w:tcBorders>
            <w:shd w:val="clear" w:color="auto" w:fill="auto"/>
            <w:vAlign w:val="center"/>
          </w:tcPr>
          <w:p w:rsidR="009440F9" w:rsidRDefault="007E2C74">
            <w:pPr>
              <w:pStyle w:val="a4"/>
              <w:widowControl/>
              <w:numPr>
                <w:ilvl w:val="0"/>
                <w:numId w:val="1"/>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课程目标符合学校办学定位以及人才培养目标</w:t>
            </w:r>
          </w:p>
        </w:tc>
      </w:tr>
      <w:tr w:rsidR="009440F9">
        <w:trPr>
          <w:trHeight w:val="300"/>
        </w:trPr>
        <w:tc>
          <w:tcPr>
            <w:tcW w:w="1620" w:type="dxa"/>
            <w:vMerge/>
            <w:tcBorders>
              <w:top w:val="nil"/>
              <w:left w:val="single" w:sz="8" w:space="0" w:color="auto"/>
              <w:bottom w:val="single" w:sz="8" w:space="0" w:color="000000"/>
              <w:right w:val="single" w:sz="8" w:space="0" w:color="auto"/>
            </w:tcBorders>
            <w:vAlign w:val="center"/>
          </w:tcPr>
          <w:p w:rsidR="009440F9" w:rsidRDefault="009440F9">
            <w:pPr>
              <w:widowControl/>
              <w:autoSpaceDE/>
              <w:autoSpaceDN/>
              <w:rPr>
                <w:rFonts w:ascii="黑体" w:eastAsia="黑体" w:hAnsi="黑体"/>
                <w:color w:val="000000"/>
                <w:sz w:val="24"/>
                <w:szCs w:val="24"/>
                <w:lang w:val="en-US" w:bidi="ar-SA"/>
              </w:rPr>
            </w:pPr>
          </w:p>
        </w:tc>
        <w:tc>
          <w:tcPr>
            <w:tcW w:w="7169" w:type="dxa"/>
            <w:tcBorders>
              <w:top w:val="nil"/>
              <w:left w:val="nil"/>
              <w:bottom w:val="single" w:sz="8" w:space="0" w:color="auto"/>
              <w:right w:val="single" w:sz="8" w:space="0" w:color="auto"/>
            </w:tcBorders>
            <w:shd w:val="clear" w:color="auto" w:fill="auto"/>
            <w:vAlign w:val="center"/>
          </w:tcPr>
          <w:p w:rsidR="009440F9" w:rsidRDefault="007E2C74">
            <w:pPr>
              <w:pStyle w:val="a4"/>
              <w:widowControl/>
              <w:numPr>
                <w:ilvl w:val="0"/>
                <w:numId w:val="1"/>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帮助新生尽快实现从高中到大学的适应性转变</w:t>
            </w:r>
          </w:p>
        </w:tc>
      </w:tr>
      <w:tr w:rsidR="009440F9">
        <w:trPr>
          <w:trHeight w:val="285"/>
        </w:trPr>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9440F9" w:rsidRDefault="007E2C74">
            <w:pPr>
              <w:widowControl/>
              <w:autoSpaceDE/>
              <w:autoSpaceDN/>
              <w:jc w:val="center"/>
              <w:rPr>
                <w:rFonts w:ascii="黑体" w:eastAsia="黑体" w:hAnsi="黑体"/>
                <w:color w:val="000000"/>
                <w:sz w:val="24"/>
                <w:szCs w:val="24"/>
                <w:lang w:val="en-US" w:bidi="ar-SA"/>
              </w:rPr>
            </w:pPr>
            <w:r>
              <w:rPr>
                <w:rFonts w:ascii="黑体" w:eastAsia="黑体" w:hAnsi="黑体" w:hint="eastAsia"/>
                <w:color w:val="000000"/>
                <w:sz w:val="24"/>
                <w:szCs w:val="24"/>
                <w:lang w:val="en-US" w:bidi="ar-SA"/>
              </w:rPr>
              <w:t>授课教师</w:t>
            </w:r>
            <w:r>
              <w:rPr>
                <w:rFonts w:ascii="黑体" w:eastAsia="黑体" w:hAnsi="黑体" w:hint="eastAsia"/>
                <w:color w:val="000000"/>
                <w:sz w:val="24"/>
                <w:szCs w:val="24"/>
                <w:lang w:val="en-US" w:bidi="ar-SA"/>
              </w:rPr>
              <w:br/>
              <w:t>（团队）</w:t>
            </w:r>
          </w:p>
        </w:tc>
        <w:tc>
          <w:tcPr>
            <w:tcW w:w="7169" w:type="dxa"/>
            <w:tcBorders>
              <w:top w:val="nil"/>
              <w:left w:val="nil"/>
              <w:bottom w:val="nil"/>
              <w:right w:val="single" w:sz="8" w:space="0" w:color="auto"/>
            </w:tcBorders>
            <w:shd w:val="clear" w:color="auto" w:fill="auto"/>
            <w:vAlign w:val="center"/>
          </w:tcPr>
          <w:p w:rsidR="009440F9" w:rsidRDefault="007E2C74">
            <w:pPr>
              <w:pStyle w:val="a4"/>
              <w:widowControl/>
              <w:numPr>
                <w:ilvl w:val="0"/>
                <w:numId w:val="2"/>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爱国守法，认真敬业，坚持立德树人</w:t>
            </w:r>
          </w:p>
        </w:tc>
      </w:tr>
      <w:tr w:rsidR="009440F9">
        <w:trPr>
          <w:trHeight w:val="285"/>
        </w:trPr>
        <w:tc>
          <w:tcPr>
            <w:tcW w:w="1620" w:type="dxa"/>
            <w:vMerge/>
            <w:tcBorders>
              <w:top w:val="nil"/>
              <w:left w:val="single" w:sz="8" w:space="0" w:color="auto"/>
              <w:bottom w:val="single" w:sz="8" w:space="0" w:color="000000"/>
              <w:right w:val="single" w:sz="8" w:space="0" w:color="auto"/>
            </w:tcBorders>
            <w:vAlign w:val="center"/>
          </w:tcPr>
          <w:p w:rsidR="009440F9" w:rsidRDefault="009440F9">
            <w:pPr>
              <w:widowControl/>
              <w:autoSpaceDE/>
              <w:autoSpaceDN/>
              <w:rPr>
                <w:rFonts w:ascii="黑体" w:eastAsia="黑体" w:hAnsi="黑体"/>
                <w:color w:val="000000"/>
                <w:sz w:val="24"/>
                <w:szCs w:val="24"/>
                <w:lang w:val="en-US" w:bidi="ar-SA"/>
              </w:rPr>
            </w:pPr>
          </w:p>
        </w:tc>
        <w:tc>
          <w:tcPr>
            <w:tcW w:w="7169" w:type="dxa"/>
            <w:tcBorders>
              <w:top w:val="nil"/>
              <w:left w:val="nil"/>
              <w:bottom w:val="nil"/>
              <w:right w:val="single" w:sz="8" w:space="0" w:color="auto"/>
            </w:tcBorders>
            <w:shd w:val="clear" w:color="auto" w:fill="auto"/>
            <w:vAlign w:val="center"/>
          </w:tcPr>
          <w:p w:rsidR="009440F9" w:rsidRDefault="007E2C74">
            <w:pPr>
              <w:pStyle w:val="a4"/>
              <w:widowControl/>
              <w:numPr>
                <w:ilvl w:val="0"/>
                <w:numId w:val="2"/>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课程主持人原则上须具备高级职称，具有深厚的学术造诣和广阔的学术视野</w:t>
            </w:r>
          </w:p>
        </w:tc>
      </w:tr>
      <w:tr w:rsidR="009440F9">
        <w:trPr>
          <w:trHeight w:val="387"/>
        </w:trPr>
        <w:tc>
          <w:tcPr>
            <w:tcW w:w="1620" w:type="dxa"/>
            <w:vMerge/>
            <w:tcBorders>
              <w:top w:val="nil"/>
              <w:left w:val="single" w:sz="8" w:space="0" w:color="auto"/>
              <w:bottom w:val="single" w:sz="8" w:space="0" w:color="000000"/>
              <w:right w:val="single" w:sz="8" w:space="0" w:color="auto"/>
            </w:tcBorders>
            <w:vAlign w:val="center"/>
          </w:tcPr>
          <w:p w:rsidR="009440F9" w:rsidRDefault="009440F9">
            <w:pPr>
              <w:widowControl/>
              <w:autoSpaceDE/>
              <w:autoSpaceDN/>
              <w:rPr>
                <w:rFonts w:ascii="黑体" w:eastAsia="黑体" w:hAnsi="黑体"/>
                <w:color w:val="000000"/>
                <w:sz w:val="24"/>
                <w:szCs w:val="24"/>
                <w:lang w:val="en-US" w:bidi="ar-SA"/>
              </w:rPr>
            </w:pPr>
          </w:p>
        </w:tc>
        <w:tc>
          <w:tcPr>
            <w:tcW w:w="7169" w:type="dxa"/>
            <w:tcBorders>
              <w:top w:val="nil"/>
              <w:left w:val="nil"/>
              <w:bottom w:val="single" w:sz="8" w:space="0" w:color="auto"/>
              <w:right w:val="single" w:sz="8" w:space="0" w:color="auto"/>
            </w:tcBorders>
            <w:shd w:val="clear" w:color="auto" w:fill="auto"/>
            <w:vAlign w:val="center"/>
          </w:tcPr>
          <w:p w:rsidR="009440F9" w:rsidRPr="00480262" w:rsidRDefault="00A803F5" w:rsidP="00480262">
            <w:pPr>
              <w:pStyle w:val="a4"/>
              <w:widowControl/>
              <w:numPr>
                <w:ilvl w:val="0"/>
                <w:numId w:val="7"/>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原则上由一位教授主讲，确属跨学科课程，可由两位教授共同主持</w:t>
            </w:r>
          </w:p>
        </w:tc>
      </w:tr>
      <w:tr w:rsidR="009440F9">
        <w:trPr>
          <w:trHeight w:val="285"/>
        </w:trPr>
        <w:tc>
          <w:tcPr>
            <w:tcW w:w="1620" w:type="dxa"/>
            <w:vMerge w:val="restart"/>
            <w:tcBorders>
              <w:top w:val="nil"/>
              <w:left w:val="single" w:sz="8" w:space="0" w:color="auto"/>
              <w:bottom w:val="nil"/>
              <w:right w:val="single" w:sz="8" w:space="0" w:color="auto"/>
            </w:tcBorders>
            <w:shd w:val="clear" w:color="auto" w:fill="auto"/>
            <w:vAlign w:val="center"/>
          </w:tcPr>
          <w:p w:rsidR="009440F9" w:rsidRDefault="007E2C74">
            <w:pPr>
              <w:widowControl/>
              <w:autoSpaceDE/>
              <w:autoSpaceDN/>
              <w:jc w:val="center"/>
              <w:rPr>
                <w:rFonts w:ascii="黑体" w:eastAsia="黑体" w:hAnsi="黑体"/>
                <w:color w:val="000000"/>
                <w:sz w:val="24"/>
                <w:szCs w:val="24"/>
                <w:lang w:val="en-US" w:bidi="ar-SA"/>
              </w:rPr>
            </w:pPr>
            <w:r>
              <w:rPr>
                <w:rFonts w:ascii="黑体" w:eastAsia="黑体" w:hAnsi="黑体" w:hint="eastAsia"/>
                <w:color w:val="000000"/>
                <w:sz w:val="24"/>
                <w:szCs w:val="24"/>
                <w:lang w:val="en-US" w:bidi="ar-SA"/>
              </w:rPr>
              <w:t>教学内容</w:t>
            </w:r>
          </w:p>
        </w:tc>
        <w:tc>
          <w:tcPr>
            <w:tcW w:w="7169" w:type="dxa"/>
            <w:tcBorders>
              <w:top w:val="nil"/>
              <w:left w:val="nil"/>
              <w:bottom w:val="nil"/>
              <w:right w:val="single" w:sz="8" w:space="0" w:color="auto"/>
            </w:tcBorders>
            <w:shd w:val="clear" w:color="auto" w:fill="auto"/>
            <w:vAlign w:val="center"/>
          </w:tcPr>
          <w:p w:rsidR="009440F9" w:rsidRDefault="00582BE0">
            <w:pPr>
              <w:pStyle w:val="a4"/>
              <w:widowControl/>
              <w:numPr>
                <w:ilvl w:val="0"/>
                <w:numId w:val="3"/>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内容新颖，与学科前沿衔接。</w:t>
            </w:r>
            <w:r w:rsidR="007E2C74">
              <w:rPr>
                <w:rFonts w:ascii="仿宋_GB2312" w:eastAsia="仿宋_GB2312" w:hAnsi="等线" w:hint="eastAsia"/>
                <w:color w:val="000000"/>
                <w:sz w:val="24"/>
                <w:szCs w:val="24"/>
                <w:lang w:val="en-US" w:bidi="ar-SA"/>
              </w:rPr>
              <w:t>围绕专题开展教学，专题相对稳定</w:t>
            </w:r>
            <w:r>
              <w:rPr>
                <w:rFonts w:ascii="仿宋_GB2312" w:eastAsia="仿宋_GB2312" w:hAnsi="等线" w:hint="eastAsia"/>
                <w:color w:val="000000"/>
                <w:sz w:val="24"/>
                <w:szCs w:val="24"/>
                <w:lang w:val="en-US" w:bidi="ar-SA"/>
              </w:rPr>
              <w:t>（</w:t>
            </w:r>
            <w:r>
              <w:rPr>
                <w:rFonts w:ascii="仿宋_GB2312" w:eastAsia="仿宋_GB2312" w:hAnsi="等线"/>
                <w:color w:val="000000"/>
                <w:sz w:val="24"/>
                <w:szCs w:val="24"/>
                <w:lang w:val="en-US" w:bidi="ar-SA"/>
              </w:rPr>
              <w:t>3-5个</w:t>
            </w:r>
            <w:r>
              <w:rPr>
                <w:rFonts w:ascii="仿宋_GB2312" w:eastAsia="仿宋_GB2312" w:hAnsi="等线" w:hint="eastAsia"/>
                <w:color w:val="000000"/>
                <w:sz w:val="24"/>
                <w:szCs w:val="24"/>
                <w:lang w:val="en-US" w:bidi="ar-SA"/>
              </w:rPr>
              <w:t>专题</w:t>
            </w:r>
            <w:r>
              <w:rPr>
                <w:rFonts w:ascii="仿宋_GB2312" w:eastAsia="仿宋_GB2312" w:hAnsi="等线"/>
                <w:color w:val="000000"/>
                <w:sz w:val="24"/>
                <w:szCs w:val="24"/>
                <w:lang w:val="en-US" w:bidi="ar-SA"/>
              </w:rPr>
              <w:t>为宜</w:t>
            </w:r>
            <w:r>
              <w:rPr>
                <w:rFonts w:ascii="仿宋_GB2312" w:eastAsia="仿宋_GB2312" w:hAnsi="等线" w:hint="eastAsia"/>
                <w:color w:val="000000"/>
                <w:sz w:val="24"/>
                <w:szCs w:val="24"/>
                <w:lang w:val="en-US" w:bidi="ar-SA"/>
              </w:rPr>
              <w:t>）</w:t>
            </w:r>
            <w:r w:rsidR="007E2C74">
              <w:rPr>
                <w:rFonts w:ascii="仿宋_GB2312" w:eastAsia="仿宋_GB2312" w:hAnsi="等线" w:hint="eastAsia"/>
                <w:color w:val="000000"/>
                <w:sz w:val="24"/>
                <w:szCs w:val="24"/>
                <w:lang w:val="en-US" w:bidi="ar-SA"/>
              </w:rPr>
              <w:t>，</w:t>
            </w:r>
            <w:r w:rsidR="007E2C74">
              <w:rPr>
                <w:rFonts w:ascii="仿宋_GB2312" w:eastAsia="仿宋_GB2312" w:hAnsi="等线"/>
                <w:color w:val="000000"/>
                <w:sz w:val="24"/>
                <w:szCs w:val="24"/>
                <w:lang w:val="en-US" w:bidi="ar-SA"/>
              </w:rPr>
              <w:t>细化专题学时安排</w:t>
            </w:r>
            <w:r w:rsidR="00A803F5">
              <w:rPr>
                <w:rFonts w:ascii="仿宋_GB2312" w:eastAsia="仿宋_GB2312" w:hAnsi="等线" w:hint="eastAsia"/>
                <w:color w:val="000000"/>
                <w:sz w:val="24"/>
                <w:szCs w:val="24"/>
                <w:lang w:val="en-US" w:bidi="ar-SA"/>
              </w:rPr>
              <w:t>，避免讲座式串讲</w:t>
            </w:r>
          </w:p>
        </w:tc>
      </w:tr>
      <w:tr w:rsidR="009440F9">
        <w:trPr>
          <w:trHeight w:val="285"/>
        </w:trPr>
        <w:tc>
          <w:tcPr>
            <w:tcW w:w="1620" w:type="dxa"/>
            <w:vMerge/>
            <w:tcBorders>
              <w:top w:val="nil"/>
              <w:left w:val="single" w:sz="8" w:space="0" w:color="auto"/>
              <w:bottom w:val="nil"/>
              <w:right w:val="single" w:sz="8" w:space="0" w:color="auto"/>
            </w:tcBorders>
            <w:vAlign w:val="center"/>
          </w:tcPr>
          <w:p w:rsidR="009440F9" w:rsidRDefault="009440F9">
            <w:pPr>
              <w:widowControl/>
              <w:autoSpaceDE/>
              <w:autoSpaceDN/>
              <w:rPr>
                <w:rFonts w:ascii="黑体" w:eastAsia="黑体" w:hAnsi="黑体"/>
                <w:color w:val="000000"/>
                <w:sz w:val="24"/>
                <w:szCs w:val="24"/>
                <w:lang w:val="en-US" w:bidi="ar-SA"/>
              </w:rPr>
            </w:pPr>
          </w:p>
        </w:tc>
        <w:tc>
          <w:tcPr>
            <w:tcW w:w="7169" w:type="dxa"/>
            <w:tcBorders>
              <w:top w:val="nil"/>
              <w:left w:val="nil"/>
              <w:bottom w:val="nil"/>
              <w:right w:val="single" w:sz="8" w:space="0" w:color="auto"/>
            </w:tcBorders>
            <w:shd w:val="clear" w:color="auto" w:fill="auto"/>
            <w:vAlign w:val="center"/>
          </w:tcPr>
          <w:p w:rsidR="009440F9" w:rsidRDefault="007E2C74">
            <w:pPr>
              <w:pStyle w:val="a4"/>
              <w:widowControl/>
              <w:numPr>
                <w:ilvl w:val="0"/>
                <w:numId w:val="3"/>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难度适中，</w:t>
            </w:r>
            <w:r w:rsidR="00A803F5">
              <w:rPr>
                <w:rFonts w:ascii="仿宋_GB2312" w:eastAsia="仿宋_GB2312" w:hAnsi="等线" w:hint="eastAsia"/>
                <w:color w:val="000000"/>
                <w:sz w:val="24"/>
                <w:szCs w:val="24"/>
                <w:lang w:val="en-US" w:bidi="ar-SA"/>
              </w:rPr>
              <w:t>不能变</w:t>
            </w:r>
            <w:r>
              <w:rPr>
                <w:rFonts w:ascii="仿宋_GB2312" w:eastAsia="仿宋_GB2312" w:hAnsi="等线" w:hint="eastAsia"/>
                <w:color w:val="000000"/>
                <w:sz w:val="24"/>
                <w:szCs w:val="24"/>
                <w:lang w:val="en-US" w:bidi="ar-SA"/>
              </w:rPr>
              <w:t>成科普课、引论课</w:t>
            </w:r>
            <w:r w:rsidR="00A803F5">
              <w:rPr>
                <w:rFonts w:ascii="仿宋_GB2312" w:eastAsia="仿宋_GB2312" w:hAnsi="等线" w:hint="eastAsia"/>
                <w:color w:val="000000"/>
                <w:sz w:val="24"/>
                <w:szCs w:val="24"/>
                <w:lang w:val="en-US" w:bidi="ar-SA"/>
              </w:rPr>
              <w:t>或</w:t>
            </w:r>
            <w:r>
              <w:rPr>
                <w:rFonts w:ascii="仿宋_GB2312" w:eastAsia="仿宋_GB2312" w:hAnsi="等线" w:hint="eastAsia"/>
                <w:color w:val="000000"/>
                <w:sz w:val="24"/>
                <w:szCs w:val="24"/>
                <w:lang w:val="en-US" w:bidi="ar-SA"/>
              </w:rPr>
              <w:t>专业课</w:t>
            </w:r>
          </w:p>
        </w:tc>
      </w:tr>
      <w:tr w:rsidR="009440F9">
        <w:trPr>
          <w:trHeight w:val="300"/>
        </w:trPr>
        <w:tc>
          <w:tcPr>
            <w:tcW w:w="1620" w:type="dxa"/>
            <w:vMerge/>
            <w:tcBorders>
              <w:top w:val="nil"/>
              <w:left w:val="single" w:sz="8" w:space="0" w:color="auto"/>
              <w:bottom w:val="nil"/>
              <w:right w:val="single" w:sz="8" w:space="0" w:color="auto"/>
            </w:tcBorders>
            <w:vAlign w:val="center"/>
          </w:tcPr>
          <w:p w:rsidR="009440F9" w:rsidRDefault="009440F9">
            <w:pPr>
              <w:widowControl/>
              <w:autoSpaceDE/>
              <w:autoSpaceDN/>
              <w:rPr>
                <w:rFonts w:ascii="黑体" w:eastAsia="黑体" w:hAnsi="黑体"/>
                <w:color w:val="000000"/>
                <w:sz w:val="24"/>
                <w:szCs w:val="24"/>
                <w:lang w:val="en-US" w:bidi="ar-SA"/>
              </w:rPr>
            </w:pPr>
          </w:p>
        </w:tc>
        <w:tc>
          <w:tcPr>
            <w:tcW w:w="7169" w:type="dxa"/>
            <w:tcBorders>
              <w:top w:val="nil"/>
              <w:left w:val="nil"/>
              <w:bottom w:val="single" w:sz="8" w:space="0" w:color="auto"/>
              <w:right w:val="single" w:sz="8" w:space="0" w:color="auto"/>
            </w:tcBorders>
            <w:shd w:val="clear" w:color="auto" w:fill="auto"/>
            <w:vAlign w:val="center"/>
          </w:tcPr>
          <w:p w:rsidR="009440F9" w:rsidRDefault="007E2C74">
            <w:pPr>
              <w:pStyle w:val="a4"/>
              <w:widowControl/>
              <w:numPr>
                <w:ilvl w:val="0"/>
                <w:numId w:val="3"/>
              </w:numPr>
              <w:autoSpaceDE/>
              <w:autoSpaceDN/>
              <w:jc w:val="both"/>
              <w:rPr>
                <w:rFonts w:ascii="仿宋_GB2312" w:eastAsia="仿宋_GB2312" w:hAnsi="等线"/>
                <w:color w:val="000000"/>
                <w:sz w:val="24"/>
                <w:szCs w:val="24"/>
                <w:lang w:val="en-US" w:bidi="ar-SA"/>
              </w:rPr>
            </w:pPr>
            <w:proofErr w:type="gramStart"/>
            <w:r>
              <w:rPr>
                <w:rFonts w:ascii="仿宋_GB2312" w:eastAsia="仿宋_GB2312" w:hAnsi="等线" w:hint="eastAsia"/>
                <w:color w:val="000000"/>
                <w:sz w:val="24"/>
                <w:szCs w:val="24"/>
                <w:lang w:val="en-US" w:bidi="ar-SA"/>
              </w:rPr>
              <w:t>育教融合</w:t>
            </w:r>
            <w:proofErr w:type="gramEnd"/>
            <w:r>
              <w:rPr>
                <w:rFonts w:ascii="仿宋_GB2312" w:eastAsia="仿宋_GB2312" w:hAnsi="等线" w:hint="eastAsia"/>
                <w:color w:val="000000"/>
                <w:sz w:val="24"/>
                <w:szCs w:val="24"/>
                <w:lang w:val="en-US" w:bidi="ar-SA"/>
              </w:rPr>
              <w:t>，以价值引领为主线，融入育人要素，注重</w:t>
            </w:r>
            <w:proofErr w:type="gramStart"/>
            <w:r>
              <w:rPr>
                <w:rFonts w:ascii="仿宋_GB2312" w:eastAsia="仿宋_GB2312" w:hAnsi="等线" w:hint="eastAsia"/>
                <w:color w:val="000000"/>
                <w:sz w:val="24"/>
                <w:szCs w:val="24"/>
                <w:lang w:val="en-US" w:bidi="ar-SA"/>
              </w:rPr>
              <w:t>学生德知</w:t>
            </w:r>
            <w:proofErr w:type="gramEnd"/>
            <w:r>
              <w:rPr>
                <w:rFonts w:ascii="仿宋_GB2312" w:eastAsia="仿宋_GB2312" w:hAnsi="等线" w:hint="eastAsia"/>
                <w:color w:val="000000"/>
                <w:sz w:val="24"/>
                <w:szCs w:val="24"/>
                <w:lang w:val="en-US" w:bidi="ar-SA"/>
              </w:rPr>
              <w:t>行全面发展，将品德塑造、知识传授、能力培养融为一体</w:t>
            </w:r>
          </w:p>
        </w:tc>
      </w:tr>
      <w:tr w:rsidR="009440F9">
        <w:trPr>
          <w:trHeight w:val="285"/>
        </w:trPr>
        <w:tc>
          <w:tcPr>
            <w:tcW w:w="1620" w:type="dxa"/>
            <w:vMerge w:val="restart"/>
            <w:tcBorders>
              <w:top w:val="single" w:sz="8" w:space="0" w:color="auto"/>
              <w:left w:val="single" w:sz="8" w:space="0" w:color="auto"/>
              <w:bottom w:val="nil"/>
              <w:right w:val="single" w:sz="8" w:space="0" w:color="auto"/>
            </w:tcBorders>
            <w:shd w:val="clear" w:color="auto" w:fill="auto"/>
            <w:vAlign w:val="center"/>
          </w:tcPr>
          <w:p w:rsidR="009440F9" w:rsidRDefault="007E2C74">
            <w:pPr>
              <w:widowControl/>
              <w:autoSpaceDE/>
              <w:autoSpaceDN/>
              <w:jc w:val="center"/>
              <w:rPr>
                <w:rFonts w:ascii="黑体" w:eastAsia="黑体" w:hAnsi="黑体"/>
                <w:color w:val="000000"/>
                <w:sz w:val="24"/>
                <w:szCs w:val="24"/>
                <w:lang w:val="en-US" w:bidi="ar-SA"/>
              </w:rPr>
            </w:pPr>
            <w:r>
              <w:rPr>
                <w:rFonts w:ascii="黑体" w:eastAsia="黑体" w:hAnsi="黑体" w:hint="eastAsia"/>
                <w:color w:val="000000"/>
                <w:sz w:val="24"/>
                <w:szCs w:val="24"/>
                <w:lang w:val="en-US" w:bidi="ar-SA"/>
              </w:rPr>
              <w:t>教材</w:t>
            </w:r>
          </w:p>
        </w:tc>
        <w:tc>
          <w:tcPr>
            <w:tcW w:w="7169" w:type="dxa"/>
            <w:tcBorders>
              <w:top w:val="nil"/>
              <w:left w:val="nil"/>
              <w:bottom w:val="nil"/>
              <w:right w:val="single" w:sz="8" w:space="0" w:color="auto"/>
            </w:tcBorders>
            <w:shd w:val="clear" w:color="auto" w:fill="auto"/>
            <w:vAlign w:val="center"/>
          </w:tcPr>
          <w:p w:rsidR="009440F9" w:rsidRDefault="007E2C74">
            <w:pPr>
              <w:pStyle w:val="a4"/>
              <w:widowControl/>
              <w:numPr>
                <w:ilvl w:val="0"/>
                <w:numId w:val="4"/>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参考资料、讨论案例不能陈旧，注重时效性，突出“新”，紧跟学科前沿</w:t>
            </w:r>
          </w:p>
        </w:tc>
      </w:tr>
      <w:tr w:rsidR="009440F9">
        <w:trPr>
          <w:trHeight w:val="285"/>
        </w:trPr>
        <w:tc>
          <w:tcPr>
            <w:tcW w:w="1620" w:type="dxa"/>
            <w:vMerge/>
            <w:tcBorders>
              <w:top w:val="single" w:sz="8" w:space="0" w:color="auto"/>
              <w:left w:val="single" w:sz="8" w:space="0" w:color="auto"/>
              <w:bottom w:val="nil"/>
              <w:right w:val="single" w:sz="8" w:space="0" w:color="auto"/>
            </w:tcBorders>
            <w:vAlign w:val="center"/>
          </w:tcPr>
          <w:p w:rsidR="009440F9" w:rsidRDefault="009440F9">
            <w:pPr>
              <w:widowControl/>
              <w:autoSpaceDE/>
              <w:autoSpaceDN/>
              <w:rPr>
                <w:rFonts w:ascii="黑体" w:eastAsia="黑体" w:hAnsi="黑体"/>
                <w:color w:val="000000"/>
                <w:sz w:val="24"/>
                <w:szCs w:val="24"/>
                <w:lang w:val="en-US" w:bidi="ar-SA"/>
              </w:rPr>
            </w:pPr>
          </w:p>
        </w:tc>
        <w:tc>
          <w:tcPr>
            <w:tcW w:w="7169" w:type="dxa"/>
            <w:tcBorders>
              <w:top w:val="nil"/>
              <w:left w:val="nil"/>
              <w:bottom w:val="nil"/>
              <w:right w:val="single" w:sz="8" w:space="0" w:color="auto"/>
            </w:tcBorders>
            <w:shd w:val="clear" w:color="auto" w:fill="auto"/>
            <w:vAlign w:val="center"/>
          </w:tcPr>
          <w:p w:rsidR="009440F9" w:rsidRDefault="007E2C74">
            <w:pPr>
              <w:pStyle w:val="a4"/>
              <w:widowControl/>
              <w:numPr>
                <w:ilvl w:val="0"/>
                <w:numId w:val="4"/>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能充分支撑学生课程学习，优先选用国家规划教材等</w:t>
            </w:r>
          </w:p>
        </w:tc>
      </w:tr>
      <w:tr w:rsidR="009440F9">
        <w:trPr>
          <w:trHeight w:val="585"/>
        </w:trPr>
        <w:tc>
          <w:tcPr>
            <w:tcW w:w="1620" w:type="dxa"/>
            <w:vMerge/>
            <w:tcBorders>
              <w:top w:val="single" w:sz="8" w:space="0" w:color="auto"/>
              <w:left w:val="single" w:sz="8" w:space="0" w:color="auto"/>
              <w:bottom w:val="nil"/>
              <w:right w:val="single" w:sz="8" w:space="0" w:color="auto"/>
            </w:tcBorders>
            <w:vAlign w:val="center"/>
          </w:tcPr>
          <w:p w:rsidR="009440F9" w:rsidRDefault="009440F9">
            <w:pPr>
              <w:widowControl/>
              <w:autoSpaceDE/>
              <w:autoSpaceDN/>
              <w:rPr>
                <w:rFonts w:ascii="黑体" w:eastAsia="黑体" w:hAnsi="黑体"/>
                <w:color w:val="000000"/>
                <w:sz w:val="24"/>
                <w:szCs w:val="24"/>
                <w:lang w:val="en-US" w:bidi="ar-SA"/>
              </w:rPr>
            </w:pPr>
          </w:p>
        </w:tc>
        <w:tc>
          <w:tcPr>
            <w:tcW w:w="7169" w:type="dxa"/>
            <w:tcBorders>
              <w:top w:val="nil"/>
              <w:left w:val="nil"/>
              <w:bottom w:val="single" w:sz="8" w:space="0" w:color="auto"/>
              <w:right w:val="single" w:sz="8" w:space="0" w:color="auto"/>
            </w:tcBorders>
            <w:shd w:val="clear" w:color="auto" w:fill="auto"/>
            <w:vAlign w:val="center"/>
          </w:tcPr>
          <w:p w:rsidR="009440F9" w:rsidRDefault="007E2C74">
            <w:pPr>
              <w:pStyle w:val="a4"/>
              <w:widowControl/>
              <w:numPr>
                <w:ilvl w:val="0"/>
                <w:numId w:val="4"/>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符合国家、省、学校相关要求，无意识形态、科学性问题及地图使用不规范等问题</w:t>
            </w:r>
          </w:p>
        </w:tc>
      </w:tr>
      <w:tr w:rsidR="009440F9">
        <w:trPr>
          <w:trHeight w:val="300"/>
        </w:trPr>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9440F9" w:rsidRDefault="007E2C74">
            <w:pPr>
              <w:widowControl/>
              <w:autoSpaceDE/>
              <w:autoSpaceDN/>
              <w:jc w:val="center"/>
              <w:rPr>
                <w:rFonts w:ascii="黑体" w:eastAsia="黑体" w:hAnsi="黑体"/>
                <w:color w:val="000000"/>
                <w:sz w:val="24"/>
                <w:szCs w:val="24"/>
                <w:lang w:val="en-US" w:bidi="ar-SA"/>
              </w:rPr>
            </w:pPr>
            <w:r>
              <w:rPr>
                <w:rFonts w:ascii="黑体" w:eastAsia="黑体" w:hAnsi="黑体" w:hint="eastAsia"/>
                <w:color w:val="000000"/>
                <w:sz w:val="24"/>
                <w:szCs w:val="24"/>
                <w:lang w:val="en-US" w:bidi="ar-SA"/>
              </w:rPr>
              <w:t>教学设计与组织</w:t>
            </w:r>
          </w:p>
        </w:tc>
        <w:tc>
          <w:tcPr>
            <w:tcW w:w="7169" w:type="dxa"/>
            <w:tcBorders>
              <w:top w:val="nil"/>
              <w:left w:val="nil"/>
              <w:bottom w:val="nil"/>
              <w:right w:val="single" w:sz="8" w:space="0" w:color="auto"/>
            </w:tcBorders>
            <w:shd w:val="clear" w:color="auto" w:fill="auto"/>
            <w:vAlign w:val="center"/>
          </w:tcPr>
          <w:p w:rsidR="009440F9" w:rsidRDefault="007E2C74">
            <w:pPr>
              <w:pStyle w:val="a4"/>
              <w:widowControl/>
              <w:numPr>
                <w:ilvl w:val="0"/>
                <w:numId w:val="5"/>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能基于课程目标和学生特点进行教学设计</w:t>
            </w:r>
          </w:p>
        </w:tc>
      </w:tr>
      <w:tr w:rsidR="009440F9">
        <w:trPr>
          <w:trHeight w:val="570"/>
        </w:trPr>
        <w:tc>
          <w:tcPr>
            <w:tcW w:w="1620" w:type="dxa"/>
            <w:vMerge/>
            <w:tcBorders>
              <w:top w:val="single" w:sz="8" w:space="0" w:color="auto"/>
              <w:left w:val="single" w:sz="8" w:space="0" w:color="auto"/>
              <w:bottom w:val="single" w:sz="8" w:space="0" w:color="000000"/>
              <w:right w:val="single" w:sz="8" w:space="0" w:color="auto"/>
            </w:tcBorders>
            <w:vAlign w:val="center"/>
          </w:tcPr>
          <w:p w:rsidR="009440F9" w:rsidRDefault="009440F9">
            <w:pPr>
              <w:widowControl/>
              <w:autoSpaceDE/>
              <w:autoSpaceDN/>
              <w:rPr>
                <w:rFonts w:ascii="黑体" w:eastAsia="黑体" w:hAnsi="黑体"/>
                <w:color w:val="000000"/>
                <w:sz w:val="24"/>
                <w:szCs w:val="24"/>
                <w:lang w:val="en-US" w:bidi="ar-SA"/>
              </w:rPr>
            </w:pPr>
          </w:p>
        </w:tc>
        <w:tc>
          <w:tcPr>
            <w:tcW w:w="7169" w:type="dxa"/>
            <w:tcBorders>
              <w:top w:val="nil"/>
              <w:left w:val="nil"/>
              <w:bottom w:val="nil"/>
              <w:right w:val="single" w:sz="8" w:space="0" w:color="auto"/>
            </w:tcBorders>
            <w:shd w:val="clear" w:color="auto" w:fill="auto"/>
            <w:vAlign w:val="center"/>
          </w:tcPr>
          <w:p w:rsidR="009440F9" w:rsidRDefault="007E2C74">
            <w:pPr>
              <w:pStyle w:val="a4"/>
              <w:widowControl/>
              <w:numPr>
                <w:ilvl w:val="0"/>
                <w:numId w:val="5"/>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采取灵活多样的教学方式，开展研究性教学，发展学生的批判性思维，不同教学形式（讲授、讨论、实验实践）所占学时应具体明确</w:t>
            </w:r>
          </w:p>
        </w:tc>
      </w:tr>
      <w:tr w:rsidR="009440F9">
        <w:trPr>
          <w:trHeight w:val="285"/>
        </w:trPr>
        <w:tc>
          <w:tcPr>
            <w:tcW w:w="1620" w:type="dxa"/>
            <w:vMerge/>
            <w:tcBorders>
              <w:top w:val="single" w:sz="8" w:space="0" w:color="auto"/>
              <w:left w:val="single" w:sz="8" w:space="0" w:color="auto"/>
              <w:bottom w:val="single" w:sz="8" w:space="0" w:color="000000"/>
              <w:right w:val="single" w:sz="8" w:space="0" w:color="auto"/>
            </w:tcBorders>
            <w:vAlign w:val="center"/>
          </w:tcPr>
          <w:p w:rsidR="009440F9" w:rsidRDefault="009440F9">
            <w:pPr>
              <w:widowControl/>
              <w:autoSpaceDE/>
              <w:autoSpaceDN/>
              <w:rPr>
                <w:rFonts w:ascii="黑体" w:eastAsia="黑体" w:hAnsi="黑体"/>
                <w:color w:val="000000"/>
                <w:sz w:val="24"/>
                <w:szCs w:val="24"/>
                <w:lang w:val="en-US" w:bidi="ar-SA"/>
              </w:rPr>
            </w:pPr>
          </w:p>
        </w:tc>
        <w:tc>
          <w:tcPr>
            <w:tcW w:w="7169" w:type="dxa"/>
            <w:tcBorders>
              <w:top w:val="nil"/>
              <w:left w:val="nil"/>
              <w:bottom w:val="nil"/>
              <w:right w:val="single" w:sz="8" w:space="0" w:color="auto"/>
            </w:tcBorders>
            <w:shd w:val="clear" w:color="auto" w:fill="auto"/>
            <w:vAlign w:val="center"/>
          </w:tcPr>
          <w:p w:rsidR="009440F9" w:rsidRDefault="007E2C74">
            <w:pPr>
              <w:pStyle w:val="a4"/>
              <w:widowControl/>
              <w:numPr>
                <w:ilvl w:val="0"/>
                <w:numId w:val="5"/>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合理应用教学信息化手段，辅助课堂教学，引导学生主动学习</w:t>
            </w:r>
          </w:p>
        </w:tc>
      </w:tr>
      <w:tr w:rsidR="009440F9">
        <w:trPr>
          <w:trHeight w:val="300"/>
        </w:trPr>
        <w:tc>
          <w:tcPr>
            <w:tcW w:w="1620" w:type="dxa"/>
            <w:vMerge/>
            <w:tcBorders>
              <w:top w:val="single" w:sz="8" w:space="0" w:color="auto"/>
              <w:left w:val="single" w:sz="8" w:space="0" w:color="auto"/>
              <w:bottom w:val="single" w:sz="8" w:space="0" w:color="000000"/>
              <w:right w:val="single" w:sz="8" w:space="0" w:color="auto"/>
            </w:tcBorders>
            <w:vAlign w:val="center"/>
          </w:tcPr>
          <w:p w:rsidR="009440F9" w:rsidRDefault="009440F9">
            <w:pPr>
              <w:widowControl/>
              <w:autoSpaceDE/>
              <w:autoSpaceDN/>
              <w:rPr>
                <w:rFonts w:ascii="黑体" w:eastAsia="黑体" w:hAnsi="黑体"/>
                <w:color w:val="000000"/>
                <w:sz w:val="24"/>
                <w:szCs w:val="24"/>
                <w:lang w:val="en-US" w:bidi="ar-SA"/>
              </w:rPr>
            </w:pPr>
          </w:p>
        </w:tc>
        <w:tc>
          <w:tcPr>
            <w:tcW w:w="7169" w:type="dxa"/>
            <w:tcBorders>
              <w:top w:val="nil"/>
              <w:left w:val="nil"/>
              <w:bottom w:val="single" w:sz="8" w:space="0" w:color="auto"/>
              <w:right w:val="single" w:sz="8" w:space="0" w:color="auto"/>
            </w:tcBorders>
            <w:shd w:val="clear" w:color="auto" w:fill="auto"/>
            <w:vAlign w:val="center"/>
          </w:tcPr>
          <w:p w:rsidR="009440F9" w:rsidRDefault="007E2C74">
            <w:pPr>
              <w:pStyle w:val="a4"/>
              <w:widowControl/>
              <w:numPr>
                <w:ilvl w:val="0"/>
                <w:numId w:val="5"/>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教学反馈及时</w:t>
            </w:r>
          </w:p>
        </w:tc>
      </w:tr>
      <w:tr w:rsidR="009440F9">
        <w:trPr>
          <w:trHeight w:val="285"/>
        </w:trPr>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9440F9" w:rsidRDefault="007E2C74">
            <w:pPr>
              <w:widowControl/>
              <w:autoSpaceDE/>
              <w:autoSpaceDN/>
              <w:jc w:val="center"/>
              <w:rPr>
                <w:rFonts w:ascii="黑体" w:eastAsia="黑体" w:hAnsi="黑体"/>
                <w:color w:val="000000"/>
                <w:sz w:val="24"/>
                <w:szCs w:val="24"/>
                <w:lang w:val="en-US" w:bidi="ar-SA"/>
              </w:rPr>
            </w:pPr>
            <w:r>
              <w:rPr>
                <w:rFonts w:ascii="黑体" w:eastAsia="黑体" w:hAnsi="黑体" w:hint="eastAsia"/>
                <w:color w:val="000000"/>
                <w:sz w:val="24"/>
                <w:szCs w:val="24"/>
                <w:lang w:val="en-US" w:bidi="ar-SA"/>
              </w:rPr>
              <w:t>考核方式</w:t>
            </w:r>
          </w:p>
        </w:tc>
        <w:tc>
          <w:tcPr>
            <w:tcW w:w="7169" w:type="dxa"/>
            <w:tcBorders>
              <w:top w:val="nil"/>
              <w:left w:val="nil"/>
              <w:bottom w:val="nil"/>
              <w:right w:val="single" w:sz="8" w:space="0" w:color="auto"/>
            </w:tcBorders>
            <w:shd w:val="clear" w:color="auto" w:fill="auto"/>
            <w:vAlign w:val="center"/>
          </w:tcPr>
          <w:p w:rsidR="009440F9" w:rsidRDefault="007E2C74">
            <w:pPr>
              <w:pStyle w:val="a4"/>
              <w:widowControl/>
              <w:numPr>
                <w:ilvl w:val="0"/>
                <w:numId w:val="6"/>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注重过程性考核与结果性考核相结合，辅以多样化考核形式</w:t>
            </w:r>
          </w:p>
        </w:tc>
      </w:tr>
      <w:tr w:rsidR="009440F9">
        <w:trPr>
          <w:trHeight w:val="300"/>
        </w:trPr>
        <w:tc>
          <w:tcPr>
            <w:tcW w:w="1620" w:type="dxa"/>
            <w:vMerge/>
            <w:tcBorders>
              <w:top w:val="nil"/>
              <w:left w:val="single" w:sz="8" w:space="0" w:color="auto"/>
              <w:bottom w:val="single" w:sz="8" w:space="0" w:color="000000"/>
              <w:right w:val="single" w:sz="8" w:space="0" w:color="auto"/>
            </w:tcBorders>
            <w:vAlign w:val="center"/>
          </w:tcPr>
          <w:p w:rsidR="009440F9" w:rsidRDefault="009440F9">
            <w:pPr>
              <w:widowControl/>
              <w:autoSpaceDE/>
              <w:autoSpaceDN/>
              <w:rPr>
                <w:rFonts w:ascii="黑体" w:eastAsia="黑体" w:hAnsi="黑体"/>
                <w:color w:val="000000"/>
                <w:sz w:val="24"/>
                <w:szCs w:val="24"/>
                <w:lang w:val="en-US" w:bidi="ar-SA"/>
              </w:rPr>
            </w:pPr>
          </w:p>
        </w:tc>
        <w:tc>
          <w:tcPr>
            <w:tcW w:w="7169" w:type="dxa"/>
            <w:tcBorders>
              <w:top w:val="nil"/>
              <w:left w:val="nil"/>
              <w:bottom w:val="single" w:sz="8" w:space="0" w:color="auto"/>
              <w:right w:val="single" w:sz="8" w:space="0" w:color="auto"/>
            </w:tcBorders>
            <w:shd w:val="clear" w:color="auto" w:fill="auto"/>
            <w:vAlign w:val="center"/>
          </w:tcPr>
          <w:p w:rsidR="009440F9" w:rsidRDefault="007E2C74">
            <w:pPr>
              <w:pStyle w:val="a4"/>
              <w:widowControl/>
              <w:numPr>
                <w:ilvl w:val="0"/>
                <w:numId w:val="6"/>
              </w:numPr>
              <w:autoSpaceDE/>
              <w:autoSpaceDN/>
              <w:jc w:val="both"/>
              <w:rPr>
                <w:rFonts w:ascii="仿宋_GB2312" w:eastAsia="仿宋_GB2312" w:hAnsi="等线"/>
                <w:color w:val="000000"/>
                <w:sz w:val="24"/>
                <w:szCs w:val="24"/>
                <w:lang w:val="en-US" w:bidi="ar-SA"/>
              </w:rPr>
            </w:pPr>
            <w:r>
              <w:rPr>
                <w:rFonts w:ascii="仿宋_GB2312" w:eastAsia="仿宋_GB2312" w:hAnsi="等线" w:hint="eastAsia"/>
                <w:color w:val="000000"/>
                <w:sz w:val="24"/>
                <w:szCs w:val="24"/>
                <w:lang w:val="en-US" w:bidi="ar-SA"/>
              </w:rPr>
              <w:t xml:space="preserve">构建体现学习成果创造性和多样性的评价体系 </w:t>
            </w:r>
          </w:p>
        </w:tc>
      </w:tr>
    </w:tbl>
    <w:p w:rsidR="009440F9" w:rsidRDefault="009440F9" w:rsidP="00480262">
      <w:pPr>
        <w:autoSpaceDE/>
        <w:autoSpaceDN/>
        <w:spacing w:line="500" w:lineRule="exact"/>
        <w:jc w:val="both"/>
        <w:rPr>
          <w:rFonts w:ascii="黑体" w:eastAsia="黑体" w:hAnsi="黑体" w:cs="Times New Roman"/>
          <w:b/>
          <w:bCs/>
          <w:kern w:val="2"/>
          <w:sz w:val="28"/>
          <w:szCs w:val="28"/>
          <w:lang w:val="en-US" w:bidi="ar-SA"/>
        </w:rPr>
      </w:pPr>
    </w:p>
    <w:p w:rsidR="009440F9" w:rsidRDefault="007E2C74" w:rsidP="00480262">
      <w:pPr>
        <w:autoSpaceDE/>
        <w:autoSpaceDN/>
        <w:spacing w:line="500" w:lineRule="exact"/>
        <w:ind w:firstLineChars="200" w:firstLine="562"/>
        <w:jc w:val="both"/>
        <w:rPr>
          <w:rFonts w:ascii="黑体" w:eastAsia="黑体" w:hAnsi="黑体" w:cs="Times New Roman"/>
          <w:b/>
          <w:bCs/>
          <w:kern w:val="2"/>
          <w:sz w:val="28"/>
          <w:szCs w:val="28"/>
          <w:lang w:val="en-US" w:bidi="ar-SA"/>
        </w:rPr>
      </w:pPr>
      <w:r>
        <w:rPr>
          <w:rFonts w:ascii="黑体" w:eastAsia="黑体" w:hAnsi="黑体" w:cs="Times New Roman" w:hint="eastAsia"/>
          <w:b/>
          <w:bCs/>
          <w:kern w:val="2"/>
          <w:sz w:val="28"/>
          <w:szCs w:val="28"/>
          <w:lang w:val="en-US" w:bidi="ar-SA"/>
        </w:rPr>
        <w:t>三、学分安排</w:t>
      </w:r>
    </w:p>
    <w:p w:rsidR="009440F9" w:rsidRDefault="007E2C74" w:rsidP="00480262">
      <w:pPr>
        <w:autoSpaceDE/>
        <w:autoSpaceDN/>
        <w:spacing w:line="500" w:lineRule="exact"/>
        <w:ind w:firstLineChars="200" w:firstLine="560"/>
        <w:jc w:val="both"/>
        <w:rPr>
          <w:rFonts w:ascii="仿宋_GB2312" w:eastAsia="仿宋_GB2312" w:hAnsiTheme="minorEastAsia" w:cs="Times New Roman"/>
          <w:bCs/>
          <w:kern w:val="2"/>
          <w:sz w:val="28"/>
          <w:szCs w:val="28"/>
          <w:lang w:val="en-US" w:bidi="ar-SA"/>
        </w:rPr>
      </w:pPr>
      <w:r>
        <w:rPr>
          <w:rFonts w:ascii="仿宋_GB2312" w:eastAsia="仿宋_GB2312" w:hAnsiTheme="minorEastAsia" w:cs="Times New Roman" w:hint="eastAsia"/>
          <w:bCs/>
          <w:kern w:val="2"/>
          <w:sz w:val="28"/>
          <w:szCs w:val="28"/>
          <w:lang w:val="en-US" w:bidi="ar-SA"/>
        </w:rPr>
        <w:t>每门课</w:t>
      </w:r>
      <w:r>
        <w:rPr>
          <w:rFonts w:ascii="仿宋_GB2312" w:eastAsia="仿宋_GB2312" w:hAnsiTheme="minorEastAsia" w:cs="Times New Roman"/>
          <w:bCs/>
          <w:kern w:val="2"/>
          <w:sz w:val="28"/>
          <w:szCs w:val="28"/>
          <w:lang w:val="en-US" w:bidi="ar-SA"/>
        </w:rPr>
        <w:t>2学分，周</w:t>
      </w:r>
      <w:r>
        <w:rPr>
          <w:rFonts w:ascii="仿宋_GB2312" w:eastAsia="仿宋_GB2312" w:hAnsiTheme="minorEastAsia" w:cs="Times New Roman" w:hint="eastAsia"/>
          <w:bCs/>
          <w:kern w:val="2"/>
          <w:sz w:val="28"/>
          <w:szCs w:val="28"/>
          <w:lang w:val="en-US" w:bidi="ar-SA"/>
        </w:rPr>
        <w:t>课时</w:t>
      </w:r>
      <w:r>
        <w:rPr>
          <w:rFonts w:ascii="仿宋_GB2312" w:eastAsia="仿宋_GB2312" w:hAnsiTheme="minorEastAsia" w:cs="Times New Roman"/>
          <w:bCs/>
          <w:kern w:val="2"/>
          <w:sz w:val="28"/>
          <w:szCs w:val="28"/>
          <w:lang w:val="en-US" w:bidi="ar-SA"/>
        </w:rPr>
        <w:t>2</w:t>
      </w:r>
      <w:r>
        <w:rPr>
          <w:rFonts w:ascii="仿宋_GB2312" w:eastAsia="仿宋_GB2312" w:hAnsiTheme="minorEastAsia" w:cs="Times New Roman" w:hint="eastAsia"/>
          <w:bCs/>
          <w:kern w:val="2"/>
          <w:sz w:val="28"/>
          <w:szCs w:val="28"/>
          <w:lang w:val="en-US" w:bidi="ar-SA"/>
        </w:rPr>
        <w:t>或</w:t>
      </w:r>
      <w:r>
        <w:rPr>
          <w:rFonts w:ascii="仿宋_GB2312" w:eastAsia="仿宋_GB2312" w:hAnsiTheme="minorEastAsia" w:cs="Times New Roman"/>
          <w:bCs/>
          <w:kern w:val="2"/>
          <w:sz w:val="28"/>
          <w:szCs w:val="28"/>
          <w:lang w:val="en-US" w:bidi="ar-SA"/>
        </w:rPr>
        <w:t>3</w:t>
      </w:r>
      <w:r>
        <w:rPr>
          <w:rFonts w:ascii="仿宋_GB2312" w:eastAsia="仿宋_GB2312" w:hAnsiTheme="minorEastAsia" w:cs="Times New Roman" w:hint="eastAsia"/>
          <w:bCs/>
          <w:kern w:val="2"/>
          <w:sz w:val="28"/>
          <w:szCs w:val="28"/>
          <w:lang w:val="en-US" w:bidi="ar-SA"/>
        </w:rPr>
        <w:t>课时</w:t>
      </w:r>
      <w:r>
        <w:rPr>
          <w:rFonts w:ascii="仿宋_GB2312" w:eastAsia="仿宋_GB2312" w:hAnsiTheme="minorEastAsia" w:cs="Times New Roman"/>
          <w:bCs/>
          <w:kern w:val="2"/>
          <w:sz w:val="28"/>
          <w:szCs w:val="28"/>
          <w:lang w:val="en-US" w:bidi="ar-SA"/>
        </w:rPr>
        <w:t>，每学期总学时24</w:t>
      </w:r>
      <w:r>
        <w:rPr>
          <w:rFonts w:ascii="仿宋_GB2312" w:eastAsia="仿宋_GB2312" w:hAnsiTheme="minorEastAsia" w:cs="Times New Roman" w:hint="eastAsia"/>
          <w:bCs/>
          <w:kern w:val="2"/>
          <w:sz w:val="28"/>
          <w:szCs w:val="28"/>
          <w:lang w:val="en-US" w:bidi="ar-SA"/>
        </w:rPr>
        <w:t>课时</w:t>
      </w:r>
      <w:r>
        <w:rPr>
          <w:rFonts w:ascii="仿宋_GB2312" w:eastAsia="仿宋_GB2312" w:hAnsiTheme="minorEastAsia" w:cs="Times New Roman"/>
          <w:bCs/>
          <w:kern w:val="2"/>
          <w:sz w:val="28"/>
          <w:szCs w:val="28"/>
          <w:lang w:val="en-US" w:bidi="ar-SA"/>
        </w:rPr>
        <w:t>；学生所获学分</w:t>
      </w:r>
      <w:r w:rsidR="00481B4D">
        <w:rPr>
          <w:rFonts w:ascii="仿宋_GB2312" w:eastAsia="仿宋_GB2312" w:hAnsiTheme="minorEastAsia" w:cs="Times New Roman" w:hint="eastAsia"/>
          <w:bCs/>
          <w:kern w:val="2"/>
          <w:sz w:val="28"/>
          <w:szCs w:val="28"/>
          <w:lang w:val="en-US" w:bidi="ar-SA"/>
        </w:rPr>
        <w:t>作为</w:t>
      </w:r>
      <w:bookmarkStart w:id="0" w:name="_GoBack"/>
      <w:bookmarkEnd w:id="0"/>
      <w:r>
        <w:rPr>
          <w:rFonts w:ascii="仿宋_GB2312" w:eastAsia="仿宋_GB2312" w:hAnsiTheme="minorEastAsia" w:cs="Times New Roman"/>
          <w:bCs/>
          <w:kern w:val="2"/>
          <w:sz w:val="28"/>
          <w:szCs w:val="28"/>
          <w:lang w:val="en-US" w:bidi="ar-SA"/>
        </w:rPr>
        <w:t>“</w:t>
      </w:r>
      <w:r>
        <w:rPr>
          <w:rFonts w:ascii="仿宋_GB2312" w:eastAsia="仿宋_GB2312" w:hAnsiTheme="minorEastAsia" w:cs="Times New Roman"/>
          <w:bCs/>
          <w:kern w:val="2"/>
          <w:sz w:val="28"/>
          <w:szCs w:val="28"/>
          <w:lang w:val="en-US" w:bidi="ar-SA"/>
        </w:rPr>
        <w:t>通识通修课程模块</w:t>
      </w:r>
      <w:r>
        <w:rPr>
          <w:rFonts w:ascii="仿宋_GB2312" w:eastAsia="仿宋_GB2312" w:hAnsiTheme="minorEastAsia" w:cs="Times New Roman"/>
          <w:bCs/>
          <w:kern w:val="2"/>
          <w:sz w:val="28"/>
          <w:szCs w:val="28"/>
          <w:lang w:val="en-US" w:bidi="ar-SA"/>
        </w:rPr>
        <w:t>”</w:t>
      </w:r>
      <w:r>
        <w:rPr>
          <w:rFonts w:ascii="仿宋_GB2312" w:eastAsia="仿宋_GB2312" w:hAnsiTheme="minorEastAsia" w:cs="Times New Roman"/>
          <w:bCs/>
          <w:kern w:val="2"/>
          <w:sz w:val="28"/>
          <w:szCs w:val="28"/>
          <w:lang w:val="en-US" w:bidi="ar-SA"/>
        </w:rPr>
        <w:t>中的通识教育学分。</w:t>
      </w:r>
    </w:p>
    <w:p w:rsidR="009440F9" w:rsidRDefault="007E2C74" w:rsidP="00480262">
      <w:pPr>
        <w:autoSpaceDE/>
        <w:autoSpaceDN/>
        <w:spacing w:line="500" w:lineRule="exact"/>
        <w:ind w:firstLineChars="200" w:firstLine="562"/>
        <w:jc w:val="both"/>
        <w:rPr>
          <w:rFonts w:ascii="黑体" w:eastAsia="黑体" w:hAnsi="黑体" w:cs="Times New Roman"/>
          <w:b/>
          <w:bCs/>
          <w:kern w:val="2"/>
          <w:sz w:val="28"/>
          <w:szCs w:val="28"/>
          <w:lang w:val="en-US" w:bidi="ar-SA"/>
        </w:rPr>
      </w:pPr>
      <w:r>
        <w:rPr>
          <w:rFonts w:ascii="黑体" w:eastAsia="黑体" w:hAnsi="黑体" w:cs="Times New Roman" w:hint="eastAsia"/>
          <w:b/>
          <w:bCs/>
          <w:kern w:val="2"/>
          <w:sz w:val="28"/>
          <w:szCs w:val="28"/>
          <w:lang w:val="en-US" w:bidi="ar-SA"/>
        </w:rPr>
        <w:t>四、班级规模</w:t>
      </w:r>
    </w:p>
    <w:p w:rsidR="009440F9" w:rsidRDefault="007E2C74" w:rsidP="00480262">
      <w:pPr>
        <w:autoSpaceDE/>
        <w:autoSpaceDN/>
        <w:spacing w:line="500" w:lineRule="exact"/>
        <w:ind w:firstLineChars="200" w:firstLine="560"/>
        <w:jc w:val="both"/>
        <w:rPr>
          <w:rFonts w:ascii="仿宋_GB2312" w:eastAsia="仿宋_GB2312" w:hAnsiTheme="minorEastAsia" w:cs="Times New Roman"/>
          <w:bCs/>
          <w:kern w:val="2"/>
          <w:sz w:val="28"/>
          <w:szCs w:val="28"/>
          <w:lang w:val="en-US" w:bidi="ar-SA"/>
        </w:rPr>
      </w:pPr>
      <w:r>
        <w:rPr>
          <w:rFonts w:ascii="仿宋_GB2312" w:eastAsia="仿宋_GB2312" w:hAnsiTheme="minorEastAsia" w:cs="Times New Roman" w:hint="eastAsia"/>
          <w:bCs/>
          <w:kern w:val="2"/>
          <w:sz w:val="28"/>
          <w:szCs w:val="28"/>
          <w:lang w:val="en-US" w:bidi="ar-SA"/>
        </w:rPr>
        <w:t>授课对象为全校本科一年级学生，每个班级人数不超过</w:t>
      </w:r>
      <w:r>
        <w:rPr>
          <w:rFonts w:ascii="仿宋_GB2312" w:eastAsia="仿宋_GB2312" w:hAnsiTheme="minorEastAsia" w:cs="Times New Roman"/>
          <w:bCs/>
          <w:kern w:val="2"/>
          <w:sz w:val="28"/>
          <w:szCs w:val="28"/>
          <w:lang w:val="en-US" w:bidi="ar-SA"/>
        </w:rPr>
        <w:t xml:space="preserve"> 30 人。</w:t>
      </w:r>
    </w:p>
    <w:p w:rsidR="009440F9" w:rsidRDefault="007E2C74" w:rsidP="00480262">
      <w:pPr>
        <w:spacing w:line="500" w:lineRule="exact"/>
        <w:ind w:firstLineChars="200" w:firstLine="562"/>
        <w:rPr>
          <w:rFonts w:ascii="黑体" w:eastAsia="黑体" w:hAnsi="黑体"/>
          <w:b/>
          <w:sz w:val="28"/>
          <w:szCs w:val="28"/>
        </w:rPr>
      </w:pPr>
      <w:r>
        <w:rPr>
          <w:rFonts w:ascii="黑体" w:eastAsia="黑体" w:hAnsi="黑体" w:hint="eastAsia"/>
          <w:b/>
          <w:sz w:val="28"/>
          <w:szCs w:val="28"/>
        </w:rPr>
        <w:t>五、质量评价</w:t>
      </w:r>
    </w:p>
    <w:p w:rsidR="009440F9" w:rsidRDefault="007E2C74" w:rsidP="00480262">
      <w:pPr>
        <w:spacing w:line="500" w:lineRule="exact"/>
        <w:ind w:firstLineChars="200" w:firstLine="560"/>
        <w:rPr>
          <w:rFonts w:ascii="仿宋_GB2312" w:eastAsia="仿宋_GB2312" w:hAnsiTheme="minorEastAsia" w:cs="Times New Roman"/>
          <w:bCs/>
          <w:kern w:val="2"/>
          <w:sz w:val="28"/>
          <w:szCs w:val="28"/>
          <w:lang w:val="en-US" w:bidi="ar-SA"/>
        </w:rPr>
      </w:pPr>
      <w:r>
        <w:rPr>
          <w:rFonts w:ascii="仿宋_GB2312" w:eastAsia="仿宋_GB2312" w:hAnsiTheme="minorEastAsia" w:hint="eastAsia"/>
          <w:sz w:val="28"/>
          <w:szCs w:val="28"/>
        </w:rPr>
        <w:t>学校课程建设与评价委员会对课程教学质量给予综合评价。教学效果显著的课程，给予重点支持；教学效果不佳的课程，</w:t>
      </w:r>
      <w:r w:rsidR="00A803F5">
        <w:rPr>
          <w:rFonts w:ascii="仿宋_GB2312" w:eastAsia="仿宋_GB2312" w:hAnsiTheme="minorEastAsia" w:hint="eastAsia"/>
          <w:sz w:val="28"/>
          <w:szCs w:val="28"/>
        </w:rPr>
        <w:t>须</w:t>
      </w:r>
      <w:r>
        <w:rPr>
          <w:rFonts w:ascii="仿宋_GB2312" w:eastAsia="仿宋_GB2312" w:hAnsiTheme="minorEastAsia" w:hint="eastAsia"/>
          <w:sz w:val="28"/>
          <w:szCs w:val="28"/>
        </w:rPr>
        <w:t>及时改进教学方案；</w:t>
      </w:r>
      <w:r w:rsidR="00A803F5">
        <w:rPr>
          <w:rFonts w:ascii="仿宋_GB2312" w:eastAsia="仿宋_GB2312" w:hAnsiTheme="minorEastAsia" w:hint="eastAsia"/>
          <w:sz w:val="28"/>
          <w:szCs w:val="28"/>
        </w:rPr>
        <w:t>各方评价</w:t>
      </w:r>
      <w:proofErr w:type="gramStart"/>
      <w:r>
        <w:rPr>
          <w:rFonts w:ascii="仿宋_GB2312" w:eastAsia="仿宋_GB2312" w:hAnsiTheme="minorEastAsia" w:hint="eastAsia"/>
          <w:sz w:val="28"/>
          <w:szCs w:val="28"/>
        </w:rPr>
        <w:t>连续差评</w:t>
      </w:r>
      <w:r w:rsidR="00A803F5">
        <w:rPr>
          <w:rFonts w:ascii="仿宋_GB2312" w:eastAsia="仿宋_GB2312" w:hAnsiTheme="minorEastAsia" w:hint="eastAsia"/>
          <w:sz w:val="28"/>
          <w:szCs w:val="28"/>
        </w:rPr>
        <w:t>的</w:t>
      </w:r>
      <w:proofErr w:type="gramEnd"/>
      <w:r>
        <w:rPr>
          <w:rFonts w:ascii="仿宋_GB2312" w:eastAsia="仿宋_GB2312" w:hAnsiTheme="minorEastAsia" w:hint="eastAsia"/>
          <w:sz w:val="28"/>
          <w:szCs w:val="28"/>
        </w:rPr>
        <w:t>课程，</w:t>
      </w:r>
      <w:r w:rsidR="00A803F5">
        <w:rPr>
          <w:rFonts w:ascii="仿宋_GB2312" w:eastAsia="仿宋_GB2312" w:hAnsiTheme="minorEastAsia" w:hint="eastAsia"/>
          <w:sz w:val="28"/>
          <w:szCs w:val="28"/>
        </w:rPr>
        <w:t>经课程建设与评价委员会审核后</w:t>
      </w:r>
      <w:r>
        <w:rPr>
          <w:rFonts w:ascii="仿宋_GB2312" w:eastAsia="仿宋_GB2312" w:hAnsiTheme="minorEastAsia" w:hint="eastAsia"/>
          <w:sz w:val="28"/>
          <w:szCs w:val="28"/>
        </w:rPr>
        <w:t>取消立项资格。</w:t>
      </w:r>
    </w:p>
    <w:sectPr w:rsidR="009440F9">
      <w:footerReference w:type="default" r:id="rId8"/>
      <w:type w:val="continuous"/>
      <w:pgSz w:w="11910" w:h="16840"/>
      <w:pgMar w:top="1520" w:right="1440" w:bottom="1400" w:left="1680" w:header="720" w:footer="12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33D" w:rsidRDefault="0095733D" w:rsidP="00480262">
      <w:r>
        <w:separator/>
      </w:r>
    </w:p>
  </w:endnote>
  <w:endnote w:type="continuationSeparator" w:id="0">
    <w:p w:rsidR="0095733D" w:rsidRDefault="0095733D" w:rsidP="0048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821087"/>
      <w:docPartObj>
        <w:docPartGallery w:val="Page Numbers (Bottom of Page)"/>
        <w:docPartUnique/>
      </w:docPartObj>
    </w:sdtPr>
    <w:sdtEndPr/>
    <w:sdtContent>
      <w:p w:rsidR="009822AE" w:rsidRDefault="009822AE">
        <w:pPr>
          <w:pStyle w:val="a9"/>
          <w:jc w:val="center"/>
        </w:pPr>
        <w:r>
          <w:fldChar w:fldCharType="begin"/>
        </w:r>
        <w:r>
          <w:instrText>PAGE   \* MERGEFORMAT</w:instrText>
        </w:r>
        <w:r>
          <w:fldChar w:fldCharType="separate"/>
        </w:r>
        <w:r>
          <w:rPr>
            <w:noProof/>
          </w:rPr>
          <w:t>3</w:t>
        </w:r>
        <w:r>
          <w:fldChar w:fldCharType="end"/>
        </w:r>
      </w:p>
    </w:sdtContent>
  </w:sdt>
  <w:p w:rsidR="009822AE" w:rsidRDefault="009822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33D" w:rsidRDefault="0095733D" w:rsidP="00480262">
      <w:r>
        <w:separator/>
      </w:r>
    </w:p>
  </w:footnote>
  <w:footnote w:type="continuationSeparator" w:id="0">
    <w:p w:rsidR="0095733D" w:rsidRDefault="0095733D" w:rsidP="0048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CE7"/>
    <w:multiLevelType w:val="multilevel"/>
    <w:tmpl w:val="140E0C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C90854"/>
    <w:multiLevelType w:val="multilevel"/>
    <w:tmpl w:val="2EC908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6970DD1"/>
    <w:multiLevelType w:val="multilevel"/>
    <w:tmpl w:val="36970D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1A22188"/>
    <w:multiLevelType w:val="multilevel"/>
    <w:tmpl w:val="41A2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12C1B12"/>
    <w:multiLevelType w:val="multilevel"/>
    <w:tmpl w:val="612C1B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8606E7D"/>
    <w:multiLevelType w:val="multilevel"/>
    <w:tmpl w:val="68606E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DB4409F"/>
    <w:multiLevelType w:val="multilevel"/>
    <w:tmpl w:val="41A2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F2A"/>
    <w:rsid w:val="000D4F2A"/>
    <w:rsid w:val="001062E0"/>
    <w:rsid w:val="0014082A"/>
    <w:rsid w:val="003733D3"/>
    <w:rsid w:val="00480262"/>
    <w:rsid w:val="00481B4D"/>
    <w:rsid w:val="004C1DA8"/>
    <w:rsid w:val="00582BE0"/>
    <w:rsid w:val="005A28E4"/>
    <w:rsid w:val="006606D3"/>
    <w:rsid w:val="006803F3"/>
    <w:rsid w:val="006D0D58"/>
    <w:rsid w:val="0075259E"/>
    <w:rsid w:val="007E2C74"/>
    <w:rsid w:val="007F243C"/>
    <w:rsid w:val="00862D06"/>
    <w:rsid w:val="009440F9"/>
    <w:rsid w:val="0095733D"/>
    <w:rsid w:val="009822AE"/>
    <w:rsid w:val="009D49E1"/>
    <w:rsid w:val="00A803F5"/>
    <w:rsid w:val="00A83731"/>
    <w:rsid w:val="459B3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812CE"/>
  <w15:docId w15:val="{E5C7FC23-108E-48AF-8936-4FC88247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9"/>
    <w:qFormat/>
    <w:pPr>
      <w:ind w:left="2427" w:right="2665"/>
      <w:jc w:val="center"/>
      <w:outlineLvl w:val="0"/>
    </w:pPr>
    <w:rPr>
      <w:b/>
      <w:bCs/>
      <w:sz w:val="28"/>
      <w:szCs w:val="28"/>
    </w:rPr>
  </w:style>
  <w:style w:type="paragraph" w:styleId="2">
    <w:name w:val="heading 2"/>
    <w:basedOn w:val="a"/>
    <w:next w:val="a"/>
    <w:uiPriority w:val="9"/>
    <w:unhideWhenUsed/>
    <w:qFormat/>
    <w:pPr>
      <w:ind w:left="60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
      <w:ind w:left="120"/>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80262"/>
    <w:rPr>
      <w:sz w:val="18"/>
      <w:szCs w:val="18"/>
    </w:rPr>
  </w:style>
  <w:style w:type="character" w:customStyle="1" w:styleId="a6">
    <w:name w:val="批注框文本 字符"/>
    <w:basedOn w:val="a0"/>
    <w:link w:val="a5"/>
    <w:uiPriority w:val="99"/>
    <w:semiHidden/>
    <w:rsid w:val="00480262"/>
    <w:rPr>
      <w:rFonts w:ascii="宋体" w:eastAsia="宋体" w:hAnsi="宋体" w:cs="宋体"/>
      <w:sz w:val="18"/>
      <w:szCs w:val="18"/>
      <w:lang w:val="zh-CN" w:bidi="zh-CN"/>
    </w:rPr>
  </w:style>
  <w:style w:type="paragraph" w:styleId="a7">
    <w:name w:val="header"/>
    <w:basedOn w:val="a"/>
    <w:link w:val="a8"/>
    <w:uiPriority w:val="99"/>
    <w:unhideWhenUsed/>
    <w:rsid w:val="0048026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80262"/>
    <w:rPr>
      <w:rFonts w:ascii="宋体" w:eastAsia="宋体" w:hAnsi="宋体" w:cs="宋体"/>
      <w:sz w:val="18"/>
      <w:szCs w:val="18"/>
      <w:lang w:val="zh-CN" w:bidi="zh-CN"/>
    </w:rPr>
  </w:style>
  <w:style w:type="paragraph" w:styleId="a9">
    <w:name w:val="footer"/>
    <w:basedOn w:val="a"/>
    <w:link w:val="aa"/>
    <w:uiPriority w:val="99"/>
    <w:unhideWhenUsed/>
    <w:rsid w:val="00480262"/>
    <w:pPr>
      <w:tabs>
        <w:tab w:val="center" w:pos="4153"/>
        <w:tab w:val="right" w:pos="8306"/>
      </w:tabs>
      <w:snapToGrid w:val="0"/>
    </w:pPr>
    <w:rPr>
      <w:sz w:val="18"/>
      <w:szCs w:val="18"/>
    </w:rPr>
  </w:style>
  <w:style w:type="character" w:customStyle="1" w:styleId="aa">
    <w:name w:val="页脚 字符"/>
    <w:basedOn w:val="a0"/>
    <w:link w:val="a9"/>
    <w:uiPriority w:val="99"/>
    <w:rsid w:val="00480262"/>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dc:creator>
  <cp:lastModifiedBy>YTH</cp:lastModifiedBy>
  <cp:revision>8</cp:revision>
  <dcterms:created xsi:type="dcterms:W3CDTF">2021-05-29T03:07:00Z</dcterms:created>
  <dcterms:modified xsi:type="dcterms:W3CDTF">2021-06-02T14:40:00Z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2019-10-12T00:00:00Z</vt:filetime>
  </property>
  <property fmtid="{D5CDD505-2E9C-101B-9397-08002B2CF9AE}" pid="3" name="Creator">
    <vt:lpwstr>Microsoft® Office Word 2007</vt:lpwstr>
  </property>
  <property fmtid="{D5CDD505-2E9C-101B-9397-08002B2CF9AE}" pid="4" name="LastSaved">
    <vt:filetime>2021-05-07T00:00:00Z</vt:filetime>
  </property>
  <property fmtid="{D5CDD505-2E9C-101B-9397-08002B2CF9AE}" pid="5" name="KSOProductBuildVer">
    <vt:lpwstr>2052-11.1.0.10495</vt:lpwstr>
  </property>
  <property fmtid="{D5CDD505-2E9C-101B-9397-08002B2CF9AE}" pid="6" name="ICV">
    <vt:lpwstr>C59305F8EFEC4D7EB20DAD86194BB74E</vt:lpwstr>
  </property>
</Properties>
</file>