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30DB" w14:textId="77777777" w:rsidR="005A2D07" w:rsidRPr="002F36ED" w:rsidRDefault="00E16D03">
      <w:pPr>
        <w:spacing w:line="360" w:lineRule="auto"/>
        <w:jc w:val="center"/>
        <w:rPr>
          <w:rFonts w:ascii="华文中宋" w:eastAsia="华文中宋" w:hAnsi="华文中宋"/>
          <w:b/>
          <w:color w:val="000000"/>
          <w:kern w:val="0"/>
          <w:sz w:val="32"/>
          <w:szCs w:val="32"/>
        </w:rPr>
      </w:pPr>
      <w:r w:rsidRPr="002F36ED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南京大学</w:t>
      </w:r>
      <w:proofErr w:type="gramStart"/>
      <w:r w:rsidRPr="002F36ED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通识课建设</w:t>
      </w:r>
      <w:proofErr w:type="gramEnd"/>
      <w:r w:rsidRPr="002F36ED">
        <w:rPr>
          <w:rFonts w:ascii="华文中宋" w:eastAsia="华文中宋" w:hAnsi="华文中宋" w:hint="eastAsia"/>
          <w:b/>
          <w:color w:val="000000"/>
          <w:kern w:val="0"/>
          <w:sz w:val="32"/>
          <w:szCs w:val="32"/>
        </w:rPr>
        <w:t>方案</w:t>
      </w:r>
    </w:p>
    <w:p w14:paraId="5B8B164D" w14:textId="77777777" w:rsidR="005A2D07" w:rsidRDefault="005A2D07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1E37286" w14:textId="77777777" w:rsidR="005A2D07" w:rsidRDefault="00E16D03" w:rsidP="000938A3">
      <w:pPr>
        <w:spacing w:line="4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一、课程建设要求</w:t>
      </w:r>
    </w:p>
    <w:p w14:paraId="0DAD3D66" w14:textId="258589D9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通识教育是南京大学人才培养中的重要一环，是贯彻落实立德树人根本任务的重要载体。</w:t>
      </w:r>
      <w:proofErr w:type="gramStart"/>
      <w:r>
        <w:rPr>
          <w:rFonts w:ascii="仿宋_GB2312" w:eastAsia="仿宋_GB2312" w:hAnsiTheme="minorEastAsia" w:hint="eastAsia"/>
          <w:bCs/>
          <w:sz w:val="28"/>
          <w:szCs w:val="28"/>
        </w:rPr>
        <w:t>通识课聚集</w:t>
      </w:r>
      <w:proofErr w:type="gramEnd"/>
      <w:r>
        <w:rPr>
          <w:rFonts w:ascii="仿宋_GB2312" w:eastAsia="仿宋_GB2312" w:hAnsiTheme="minorEastAsia" w:hint="eastAsia"/>
          <w:bCs/>
          <w:sz w:val="28"/>
          <w:szCs w:val="28"/>
        </w:rPr>
        <w:t>校内外优秀教学师资，帮助学生</w:t>
      </w:r>
      <w:r w:rsidR="002F36ED" w:rsidRPr="002F36ED">
        <w:rPr>
          <w:rFonts w:ascii="仿宋_GB2312" w:eastAsia="仿宋_GB2312" w:hAnsiTheme="minorEastAsia" w:hint="eastAsia"/>
          <w:bCs/>
          <w:sz w:val="28"/>
          <w:szCs w:val="28"/>
        </w:rPr>
        <w:t>正确认识世界和中国发展大势、正确认识中国特色和国际比较、正确认识时代责任和历史使命、正确认识远大抱负和脚踏实地。</w:t>
      </w:r>
    </w:p>
    <w:p w14:paraId="4A1926CE" w14:textId="77777777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基于上述目标，通</w:t>
      </w:r>
      <w:proofErr w:type="gramStart"/>
      <w:r>
        <w:rPr>
          <w:rFonts w:ascii="仿宋_GB2312" w:eastAsia="仿宋_GB2312" w:hAnsiTheme="minorEastAsia" w:hint="eastAsia"/>
          <w:bCs/>
          <w:sz w:val="28"/>
          <w:szCs w:val="28"/>
        </w:rPr>
        <w:t>识课要求</w:t>
      </w:r>
      <w:proofErr w:type="gramEnd"/>
      <w:r>
        <w:rPr>
          <w:rFonts w:ascii="仿宋_GB2312" w:eastAsia="仿宋_GB2312" w:hAnsiTheme="minorEastAsia" w:hint="eastAsia"/>
          <w:bCs/>
          <w:sz w:val="28"/>
          <w:szCs w:val="28"/>
        </w:rPr>
        <w:t>打破学科专业局限，使学生贯通古今、融会中西；在开阔学生视野、激发学习兴趣的同时，拓展思维，</w:t>
      </w:r>
      <w:r>
        <w:rPr>
          <w:rFonts w:ascii="仿宋_GB2312" w:eastAsia="仿宋_GB2312" w:hAnsiTheme="minorEastAsia" w:hint="eastAsia"/>
          <w:sz w:val="28"/>
          <w:szCs w:val="28"/>
        </w:rPr>
        <w:t>发展心智，塑造完整人格；既培养学生的</w:t>
      </w:r>
      <w:r>
        <w:rPr>
          <w:rFonts w:ascii="仿宋_GB2312" w:eastAsia="仿宋_GB2312" w:hAnsiTheme="minorEastAsia" w:hint="eastAsia"/>
          <w:bCs/>
          <w:sz w:val="28"/>
          <w:szCs w:val="28"/>
        </w:rPr>
        <w:t>文化素养和科学精神，也使其具备国际视野、中国灵魂和现代意识，教会学生以博识与深思的方式去洞察社会、从容应对未来的各种挑战。</w:t>
      </w:r>
    </w:p>
    <w:p w14:paraId="41F298E2" w14:textId="751582E2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通</w:t>
      </w:r>
      <w:proofErr w:type="gramStart"/>
      <w:r>
        <w:rPr>
          <w:rFonts w:ascii="仿宋_GB2312" w:eastAsia="仿宋_GB2312" w:hAnsiTheme="minorEastAsia" w:hint="eastAsia"/>
          <w:bCs/>
          <w:sz w:val="28"/>
          <w:szCs w:val="28"/>
        </w:rPr>
        <w:t>识课要求</w:t>
      </w:r>
      <w:proofErr w:type="gramEnd"/>
      <w:r>
        <w:rPr>
          <w:rFonts w:ascii="仿宋_GB2312" w:eastAsia="仿宋_GB2312" w:hAnsiTheme="minorEastAsia" w:hint="eastAsia"/>
          <w:bCs/>
          <w:sz w:val="28"/>
          <w:szCs w:val="28"/>
        </w:rPr>
        <w:t>教师能对自己学科领域的知识有深入系统的把握，对研究前沿动态有敏锐的眼光，帮助学生建立知识的纵向（历史）与横向关联（跨学科），并善于深入浅出地讲解，保证课程</w:t>
      </w:r>
      <w:r w:rsidR="00813592">
        <w:rPr>
          <w:rFonts w:ascii="仿宋_GB2312" w:eastAsia="仿宋_GB2312" w:hAnsiTheme="minorEastAsia" w:hint="eastAsia"/>
          <w:bCs/>
          <w:sz w:val="28"/>
          <w:szCs w:val="28"/>
        </w:rPr>
        <w:t>的</w:t>
      </w:r>
      <w:r>
        <w:rPr>
          <w:rFonts w:ascii="仿宋_GB2312" w:eastAsia="仿宋_GB2312" w:hAnsiTheme="minorEastAsia" w:hint="eastAsia"/>
          <w:bCs/>
          <w:sz w:val="28"/>
          <w:szCs w:val="28"/>
        </w:rPr>
        <w:t>深度，同时对不同学科学生有广泛吸引力和思维启发性。</w:t>
      </w:r>
    </w:p>
    <w:p w14:paraId="12DFED19" w14:textId="77777777" w:rsidR="005A2D07" w:rsidRDefault="00E16D03" w:rsidP="000938A3">
      <w:pPr>
        <w:spacing w:line="4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二、课程类别</w:t>
      </w:r>
    </w:p>
    <w:p w14:paraId="33978723" w14:textId="554B16A8" w:rsidR="005A2D07" w:rsidRPr="000938A3" w:rsidRDefault="00E16D03" w:rsidP="000938A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 w:rsidRPr="00F4361D">
        <w:rPr>
          <w:rFonts w:ascii="仿宋_GB2312" w:eastAsia="仿宋_GB2312" w:hint="eastAsia"/>
          <w:sz w:val="28"/>
          <w:szCs w:val="28"/>
        </w:rPr>
        <w:t>通识课教学</w:t>
      </w:r>
      <w:proofErr w:type="gramEnd"/>
      <w:r w:rsidRPr="00F4361D">
        <w:rPr>
          <w:rFonts w:ascii="仿宋_GB2312" w:eastAsia="仿宋_GB2312" w:hint="eastAsia"/>
          <w:sz w:val="28"/>
          <w:szCs w:val="28"/>
        </w:rPr>
        <w:t>内容涵盖</w:t>
      </w:r>
      <w:bookmarkStart w:id="0" w:name="OLE_LINK1"/>
      <w:bookmarkStart w:id="1" w:name="OLE_LINK2"/>
      <w:r w:rsidRPr="00F4361D">
        <w:rPr>
          <w:rFonts w:ascii="仿宋_GB2312" w:eastAsia="仿宋_GB2312" w:hint="eastAsia"/>
          <w:sz w:val="28"/>
          <w:szCs w:val="28"/>
        </w:rPr>
        <w:t>四个类别领域：</w:t>
      </w:r>
      <w:r w:rsidRPr="000938A3">
        <w:rPr>
          <w:rFonts w:ascii="仿宋_GB2312" w:eastAsia="仿宋_GB2312" w:hint="eastAsia"/>
          <w:sz w:val="28"/>
          <w:szCs w:val="28"/>
        </w:rPr>
        <w:t>（1）人文类</w:t>
      </w:r>
      <w:r w:rsidRPr="000938A3">
        <w:rPr>
          <w:rFonts w:ascii="仿宋_GB2312" w:eastAsia="仿宋_GB2312" w:hint="eastAsia"/>
          <w:iCs/>
          <w:sz w:val="28"/>
          <w:szCs w:val="28"/>
        </w:rPr>
        <w:t>；</w:t>
      </w:r>
      <w:r w:rsidRPr="000938A3">
        <w:rPr>
          <w:rFonts w:ascii="仿宋_GB2312" w:eastAsia="仿宋_GB2312" w:hint="eastAsia"/>
          <w:sz w:val="28"/>
          <w:szCs w:val="28"/>
        </w:rPr>
        <w:t>（2）社会科学类</w:t>
      </w:r>
      <w:r w:rsidRPr="000938A3">
        <w:rPr>
          <w:rFonts w:ascii="仿宋_GB2312" w:eastAsia="仿宋_GB2312" w:hint="eastAsia"/>
          <w:iCs/>
          <w:sz w:val="28"/>
          <w:szCs w:val="28"/>
        </w:rPr>
        <w:t>；</w:t>
      </w:r>
      <w:r w:rsidRPr="000938A3">
        <w:rPr>
          <w:rFonts w:ascii="仿宋_GB2312" w:eastAsia="仿宋_GB2312" w:hint="eastAsia"/>
          <w:sz w:val="28"/>
          <w:szCs w:val="28"/>
        </w:rPr>
        <w:t>（3）自然科学与技术类</w:t>
      </w:r>
      <w:r w:rsidRPr="000938A3">
        <w:rPr>
          <w:rFonts w:ascii="仿宋_GB2312" w:eastAsia="仿宋_GB2312" w:hint="eastAsia"/>
          <w:iCs/>
          <w:sz w:val="28"/>
          <w:szCs w:val="28"/>
        </w:rPr>
        <w:t>；</w:t>
      </w:r>
      <w:r w:rsidRPr="000938A3">
        <w:rPr>
          <w:rFonts w:ascii="仿宋_GB2312" w:eastAsia="仿宋_GB2312" w:hint="eastAsia"/>
          <w:sz w:val="28"/>
          <w:szCs w:val="28"/>
        </w:rPr>
        <w:t>（4）</w:t>
      </w:r>
      <w:bookmarkEnd w:id="0"/>
      <w:bookmarkEnd w:id="1"/>
      <w:r w:rsidR="00813592" w:rsidRPr="000938A3">
        <w:rPr>
          <w:rFonts w:ascii="仿宋_GB2312" w:eastAsia="仿宋_GB2312" w:hint="eastAsia"/>
          <w:sz w:val="28"/>
          <w:szCs w:val="28"/>
        </w:rPr>
        <w:t>跨</w:t>
      </w:r>
      <w:r w:rsidRPr="000938A3">
        <w:rPr>
          <w:rFonts w:ascii="仿宋_GB2312" w:eastAsia="仿宋_GB2312" w:hint="eastAsia"/>
          <w:sz w:val="28"/>
          <w:szCs w:val="28"/>
        </w:rPr>
        <w:t>学科类。</w:t>
      </w:r>
    </w:p>
    <w:p w14:paraId="3571316E" w14:textId="3CB0FCEE" w:rsidR="005A2D07" w:rsidRDefault="00E16D03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</w:t>
      </w:r>
      <w:r w:rsidR="000529C8">
        <w:rPr>
          <w:rFonts w:ascii="黑体" w:eastAsia="黑体" w:hAnsi="黑体" w:hint="eastAsia"/>
          <w:b/>
          <w:sz w:val="28"/>
          <w:szCs w:val="28"/>
        </w:rPr>
        <w:t>建设</w:t>
      </w:r>
      <w:r>
        <w:rPr>
          <w:rFonts w:ascii="黑体" w:eastAsia="黑体" w:hAnsi="黑体" w:hint="eastAsia"/>
          <w:b/>
          <w:sz w:val="28"/>
          <w:szCs w:val="28"/>
        </w:rPr>
        <w:t>标准</w:t>
      </w:r>
      <w:r w:rsidR="00813592">
        <w:rPr>
          <w:rFonts w:ascii="黑体" w:eastAsia="黑体" w:hAnsi="黑体" w:hint="eastAsia"/>
          <w:b/>
          <w:sz w:val="28"/>
          <w:szCs w:val="28"/>
        </w:rPr>
        <w:t>（试行）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tbl>
      <w:tblPr>
        <w:tblW w:w="8505" w:type="dxa"/>
        <w:tblInd w:w="-10" w:type="dxa"/>
        <w:tblLook w:val="04A0" w:firstRow="1" w:lastRow="0" w:firstColumn="1" w:lastColumn="0" w:noHBand="0" w:noVBand="1"/>
      </w:tblPr>
      <w:tblGrid>
        <w:gridCol w:w="1660"/>
        <w:gridCol w:w="6845"/>
      </w:tblGrid>
      <w:tr w:rsidR="005A2D07" w14:paraId="6E869018" w14:textId="77777777">
        <w:trPr>
          <w:trHeight w:val="732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224AC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维度</w:t>
            </w:r>
          </w:p>
        </w:tc>
        <w:tc>
          <w:tcPr>
            <w:tcW w:w="6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5C0E9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主要内容</w:t>
            </w:r>
          </w:p>
        </w:tc>
      </w:tr>
      <w:tr w:rsidR="005A2D07" w14:paraId="17BA2153" w14:textId="77777777">
        <w:trPr>
          <w:trHeight w:val="312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52E6AC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课程定位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6683B5C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课程目标符合学校办学定位以及人才培养目标</w:t>
            </w:r>
          </w:p>
        </w:tc>
      </w:tr>
      <w:tr w:rsidR="005A2D07" w14:paraId="7337E7A9" w14:textId="77777777">
        <w:trPr>
          <w:trHeight w:val="32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D2C04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E7E80" w14:textId="1B064BF1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符合上文所述“四个正确认识”</w:t>
            </w:r>
          </w:p>
        </w:tc>
      </w:tr>
      <w:tr w:rsidR="005A2D07" w14:paraId="03A51F73" w14:textId="77777777">
        <w:trPr>
          <w:trHeight w:val="312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BF4591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授课教师</w:t>
            </w:r>
          </w:p>
          <w:p w14:paraId="3EDC993A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（团队）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EF1FD6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爱国守法，认真敬业，坚持立德树人</w:t>
            </w:r>
          </w:p>
        </w:tc>
      </w:tr>
      <w:tr w:rsidR="005A2D07" w14:paraId="3B6343A1" w14:textId="77777777">
        <w:trPr>
          <w:trHeight w:val="31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B435EC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8592F3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课程主持人原则上须具备高级职称，具有广阔的学术视野</w:t>
            </w:r>
          </w:p>
        </w:tc>
      </w:tr>
      <w:tr w:rsidR="005A2D07" w14:paraId="112355CD" w14:textId="77777777">
        <w:trPr>
          <w:trHeight w:val="31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2638AC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591FBC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人员结构合理，任务分工明确，鼓励多学科、多学</w:t>
            </w:r>
            <w:proofErr w:type="gramStart"/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缘结构</w:t>
            </w:r>
            <w:proofErr w:type="gramEnd"/>
          </w:p>
        </w:tc>
      </w:tr>
      <w:tr w:rsidR="005A2D07" w14:paraId="563AF38D" w14:textId="77777777">
        <w:trPr>
          <w:trHeight w:val="63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9F5F89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0B7E0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注重</w:t>
            </w:r>
            <w:proofErr w:type="gramStart"/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学生德知行</w:t>
            </w:r>
            <w:proofErr w:type="gramEnd"/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全面发展，将品德塑造、知识传授、能力培养融为一体</w:t>
            </w:r>
          </w:p>
        </w:tc>
      </w:tr>
      <w:tr w:rsidR="005A2D07" w14:paraId="279376C5" w14:textId="77777777">
        <w:trPr>
          <w:trHeight w:val="312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9E46A2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教学内容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088999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>  </w:t>
            </w:r>
            <w:r>
              <w:rPr>
                <w:rFonts w:eastAsia="等线"/>
                <w:b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仿宋_GB2312" w:eastAsia="仿宋_GB2312" w:hAnsi="Wingdings" w:cs="宋体" w:hint="eastAsia"/>
                <w:b/>
                <w:color w:val="000000"/>
                <w:kern w:val="0"/>
                <w:sz w:val="24"/>
              </w:rPr>
              <w:t>基本性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：涉及人类文明中最根本、最重要、最不可或缺的质素</w:t>
            </w:r>
          </w:p>
        </w:tc>
      </w:tr>
      <w:tr w:rsidR="005A2D07" w14:paraId="75A0CF1B" w14:textId="77777777">
        <w:trPr>
          <w:trHeight w:val="93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402248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FFF45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eastAsia="等线"/>
                <w:b/>
                <w:color w:val="000000"/>
                <w:kern w:val="0"/>
                <w:sz w:val="14"/>
                <w:szCs w:val="14"/>
              </w:rPr>
              <w:t xml:space="preserve">  </w:t>
            </w:r>
            <w:r>
              <w:rPr>
                <w:rFonts w:ascii="仿宋_GB2312" w:eastAsia="仿宋_GB2312" w:hAnsi="Wingdings" w:cs="宋体" w:hint="eastAsia"/>
                <w:b/>
                <w:color w:val="000000"/>
                <w:kern w:val="0"/>
                <w:sz w:val="24"/>
              </w:rPr>
              <w:t>系统性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：知识的纵向（历史）与横向（跨学科）关联，内容具备一定的广度，整合不同领域，打破学科专业局限，融会古今、中外、文理</w:t>
            </w:r>
          </w:p>
        </w:tc>
      </w:tr>
      <w:tr w:rsidR="005A2D07" w14:paraId="7D0851E4" w14:textId="77777777" w:rsidTr="00350891">
        <w:trPr>
          <w:trHeight w:val="68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36453B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0ABD2D" w14:textId="6CE3FE64" w:rsidR="005A2D07" w:rsidRDefault="00E16D03" w:rsidP="00813592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b/>
                <w:color w:val="000000"/>
                <w:kern w:val="0"/>
                <w:sz w:val="24"/>
              </w:rPr>
              <w:t>主体性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：激发</w:t>
            </w:r>
            <w:r w:rsidR="00813592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学生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内在自觉，引导学生认识自然、认识社会、认识时代、认识自我，鼓励学生自由探索、自主构建知识体系、勇于开拓创新</w:t>
            </w:r>
          </w:p>
        </w:tc>
      </w:tr>
      <w:tr w:rsidR="005A2D07" w14:paraId="030C0582" w14:textId="77777777" w:rsidTr="00350891">
        <w:trPr>
          <w:trHeight w:val="178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467C77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21D598" w14:textId="1A98B484" w:rsidR="005A2D07" w:rsidRDefault="00D154AE" w:rsidP="00FE231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b/>
                <w:color w:val="000000"/>
                <w:kern w:val="0"/>
                <w:sz w:val="14"/>
                <w:szCs w:val="14"/>
              </w:rPr>
              <w:t xml:space="preserve">   </w:t>
            </w:r>
            <w:proofErr w:type="gramStart"/>
            <w:r w:rsidRPr="00A22DF5">
              <w:rPr>
                <w:rFonts w:ascii="仿宋_GB2312" w:eastAsia="仿宋_GB2312" w:hAnsi="Wingdings" w:cs="宋体" w:hint="eastAsia"/>
                <w:b/>
                <w:color w:val="000000"/>
                <w:kern w:val="0"/>
                <w:sz w:val="24"/>
              </w:rPr>
              <w:t>育教融合</w:t>
            </w:r>
            <w:proofErr w:type="gramEnd"/>
            <w:r w:rsidRPr="00A22DF5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：</w:t>
            </w:r>
            <w:r w:rsidR="00FE2313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围绕</w:t>
            </w:r>
            <w:r w:rsidRPr="00A22DF5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价值引领，每一讲有侧重点地融入育人要素</w:t>
            </w:r>
          </w:p>
        </w:tc>
      </w:tr>
      <w:tr w:rsidR="005A2D07" w14:paraId="57AF3137" w14:textId="77777777">
        <w:trPr>
          <w:trHeight w:val="63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3C052B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87E39" w14:textId="27DB4679" w:rsidR="005A2D07" w:rsidRDefault="00E16D03">
            <w:pPr>
              <w:widowControl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b/>
                <w:color w:val="000000"/>
                <w:kern w:val="0"/>
                <w:sz w:val="24"/>
              </w:rPr>
              <w:t>科教融合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：以问题为导向，将科学问题、科学探索历程转化为教育教学内容；将知识传授与科研方法和学术道德涵养融会贯通。</w:t>
            </w:r>
          </w:p>
        </w:tc>
      </w:tr>
      <w:tr w:rsidR="005A2D07" w14:paraId="2CC25288" w14:textId="77777777">
        <w:trPr>
          <w:trHeight w:val="312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FFE305" w14:textId="77777777" w:rsidR="005A2D07" w:rsidRDefault="00E16D0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教材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B52110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优先选用国家规划教材等</w:t>
            </w:r>
          </w:p>
        </w:tc>
      </w:tr>
      <w:tr w:rsidR="005A2D07" w14:paraId="0A0B5E13" w14:textId="77777777">
        <w:trPr>
          <w:trHeight w:val="31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E4FE94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073F12" w14:textId="77777777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能充分支撑学生课程学习</w:t>
            </w:r>
          </w:p>
        </w:tc>
      </w:tr>
      <w:tr w:rsidR="005A2D07" w14:paraId="5680D1CE" w14:textId="77777777">
        <w:trPr>
          <w:trHeight w:val="636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4ABC8" w14:textId="77777777" w:rsidR="005A2D07" w:rsidRDefault="005A2D0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F104B" w14:textId="76A5F38C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符合国家、省、学校相关要求，无意识形态、科学性问题及地图使用不规范等问题</w:t>
            </w:r>
          </w:p>
        </w:tc>
      </w:tr>
      <w:tr w:rsidR="00911856" w14:paraId="72A0EB2B" w14:textId="77777777">
        <w:trPr>
          <w:trHeight w:val="63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F3FE68" w14:textId="35519C58" w:rsidR="00911856" w:rsidRDefault="00911856" w:rsidP="000938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教学设计与组织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3FB7" w14:textId="77777777" w:rsidR="00911856" w:rsidRDefault="00911856">
            <w:pPr>
              <w:widowControl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>  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教学大纲、周历等教学文件齐全</w:t>
            </w:r>
          </w:p>
          <w:p w14:paraId="17182383" w14:textId="77777777" w:rsidR="00911856" w:rsidRDefault="00911856">
            <w:pPr>
              <w:widowControl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能基于课程目标和学生特点进行教学设计并开展研究性教学，教学组织形式灵活多样</w:t>
            </w:r>
          </w:p>
          <w:p w14:paraId="31F7DD7E" w14:textId="77777777" w:rsidR="00911856" w:rsidRDefault="00911856">
            <w:pPr>
              <w:widowControl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>  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合理应用教学信息化手段，辅助课堂教学，引导学生主动学习</w:t>
            </w:r>
          </w:p>
          <w:p w14:paraId="0073B986" w14:textId="32E2225C" w:rsidR="00911856" w:rsidRPr="00911856" w:rsidRDefault="00911856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教学反馈及时</w:t>
            </w:r>
          </w:p>
        </w:tc>
      </w:tr>
      <w:tr w:rsidR="005A2D07" w14:paraId="0AF8B301" w14:textId="77777777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115C7C" w14:textId="3DD210AD" w:rsidR="005A2D07" w:rsidRDefault="00911856" w:rsidP="000938A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5ED52" w14:textId="450E6397" w:rsidR="005A2D07" w:rsidRDefault="00E16D03">
            <w:pPr>
              <w:widowControl/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 w:rsidRPr="00D154AE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根据课程特点和教学内容合理选择考核方法</w:t>
            </w:r>
            <w:r w:rsidR="00D154AE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,</w:t>
            </w:r>
            <w:r w:rsidRPr="00D154AE"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力求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过程性考核与结果性考核相结合，辅以多样化考核形式</w:t>
            </w:r>
          </w:p>
          <w:p w14:paraId="023E2867" w14:textId="540F62A2" w:rsidR="005A2D07" w:rsidRDefault="00E16D03">
            <w:pPr>
              <w:widowControl/>
              <w:rPr>
                <w:rFonts w:ascii="Wingdings" w:eastAsia="等线" w:hAnsi="Wingdings" w:cs="宋体"/>
                <w:color w:val="000000"/>
                <w:kern w:val="0"/>
                <w:sz w:val="24"/>
              </w:rPr>
            </w:pPr>
            <w:r>
              <w:rPr>
                <w:rFonts w:ascii="Wingdings" w:eastAsia="等线" w:hAnsi="Wingdings" w:cs="宋体"/>
                <w:color w:val="000000"/>
                <w:kern w:val="0"/>
                <w:sz w:val="24"/>
              </w:rPr>
              <w:t></w:t>
            </w:r>
            <w:r>
              <w:rPr>
                <w:rFonts w:eastAsia="等线"/>
                <w:color w:val="000000"/>
                <w:kern w:val="0"/>
                <w:sz w:val="14"/>
                <w:szCs w:val="14"/>
              </w:rPr>
              <w:t xml:space="preserve">   </w:t>
            </w:r>
            <w:r>
              <w:rPr>
                <w:rFonts w:ascii="仿宋_GB2312" w:eastAsia="仿宋_GB2312" w:hAnsi="Wingdings" w:cs="宋体" w:hint="eastAsia"/>
                <w:color w:val="000000"/>
                <w:kern w:val="0"/>
                <w:sz w:val="24"/>
              </w:rPr>
              <w:t>关注学生学习投入及效果评价，要求学生课上能够积极参与各类教学活动</w:t>
            </w:r>
          </w:p>
        </w:tc>
      </w:tr>
    </w:tbl>
    <w:p w14:paraId="65704884" w14:textId="77777777" w:rsidR="005A2D07" w:rsidRDefault="00E16D03" w:rsidP="000938A3">
      <w:pPr>
        <w:spacing w:line="4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四、学分安排</w:t>
      </w:r>
    </w:p>
    <w:p w14:paraId="1F9AD1A9" w14:textId="3A105062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通识课程属于“三元四维”人才培养新体系中“大类培养阶段”的“通识通修课程模块”，授课对象为全校本科生。每门课程2-3个学分</w:t>
      </w:r>
      <w:r w:rsidR="000529C8">
        <w:rPr>
          <w:rFonts w:ascii="仿宋_GB2312" w:eastAsia="仿宋_GB2312" w:hAnsiTheme="minorEastAsia" w:hint="eastAsia"/>
          <w:sz w:val="28"/>
          <w:szCs w:val="28"/>
        </w:rPr>
        <w:t>，</w:t>
      </w:r>
      <w:r w:rsidR="00DE2910">
        <w:rPr>
          <w:rFonts w:ascii="仿宋_GB2312" w:eastAsia="仿宋_GB2312" w:hAnsiTheme="minorEastAsia" w:hint="eastAsia"/>
          <w:sz w:val="28"/>
          <w:szCs w:val="28"/>
        </w:rPr>
        <w:t>部分有需要的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通识课可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申请弹性</w:t>
      </w:r>
      <w:r w:rsidR="00213216">
        <w:rPr>
          <w:rFonts w:ascii="仿宋_GB2312" w:eastAsia="仿宋_GB2312" w:hAnsiTheme="minorEastAsia" w:hint="eastAsia"/>
          <w:sz w:val="28"/>
          <w:szCs w:val="28"/>
        </w:rPr>
        <w:t>课堂</w:t>
      </w:r>
      <w:r>
        <w:rPr>
          <w:rFonts w:ascii="仿宋_GB2312" w:eastAsia="仿宋_GB2312" w:hAnsiTheme="minorEastAsia" w:hint="eastAsia"/>
          <w:sz w:val="28"/>
          <w:szCs w:val="28"/>
        </w:rPr>
        <w:t>课时，即2学分的课可调整为24课时</w:t>
      </w:r>
      <w:r w:rsidR="00213216">
        <w:rPr>
          <w:rFonts w:ascii="仿宋_GB2312" w:eastAsia="仿宋_GB2312" w:hAnsiTheme="minorEastAsia" w:hint="eastAsia"/>
          <w:sz w:val="28"/>
          <w:szCs w:val="28"/>
        </w:rPr>
        <w:t>课堂授课+</w:t>
      </w:r>
      <w:r w:rsidR="00213216">
        <w:rPr>
          <w:rFonts w:ascii="仿宋_GB2312" w:eastAsia="仿宋_GB2312" w:hAnsiTheme="minorEastAsia"/>
          <w:sz w:val="28"/>
          <w:szCs w:val="28"/>
        </w:rPr>
        <w:t>8</w:t>
      </w:r>
      <w:r w:rsidR="00213216">
        <w:rPr>
          <w:rFonts w:ascii="仿宋_GB2312" w:eastAsia="仿宋_GB2312" w:hAnsiTheme="minorEastAsia" w:hint="eastAsia"/>
          <w:sz w:val="28"/>
          <w:szCs w:val="28"/>
        </w:rPr>
        <w:t>课时课外</w:t>
      </w:r>
      <w:r w:rsidR="003A51B5">
        <w:rPr>
          <w:rFonts w:ascii="仿宋_GB2312" w:eastAsia="仿宋_GB2312" w:hAnsiTheme="minorEastAsia" w:hint="eastAsia"/>
          <w:sz w:val="28"/>
          <w:szCs w:val="28"/>
        </w:rPr>
        <w:t>教学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14:paraId="116A14D8" w14:textId="77777777" w:rsidR="005A2D07" w:rsidRDefault="00E16D03" w:rsidP="000938A3">
      <w:pPr>
        <w:spacing w:line="4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五、班级规模</w:t>
      </w:r>
      <w:bookmarkStart w:id="2" w:name="_GoBack"/>
      <w:bookmarkEnd w:id="2"/>
    </w:p>
    <w:p w14:paraId="2DAE4AC8" w14:textId="3EE99007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课程班级规模一般在60-120人范围内；鼓励优质课程开设平行班，扩大学生受益面。</w:t>
      </w:r>
    </w:p>
    <w:p w14:paraId="1277A9DC" w14:textId="77777777" w:rsidR="005A2D07" w:rsidRDefault="00E16D03" w:rsidP="000938A3">
      <w:pPr>
        <w:spacing w:line="46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六、</w:t>
      </w:r>
      <w:bookmarkStart w:id="3" w:name="_Hlk71536159"/>
      <w:r>
        <w:rPr>
          <w:rFonts w:ascii="黑体" w:eastAsia="黑体" w:hAnsi="黑体" w:hint="eastAsia"/>
          <w:b/>
          <w:sz w:val="28"/>
          <w:szCs w:val="28"/>
        </w:rPr>
        <w:t>质量评价</w:t>
      </w:r>
    </w:p>
    <w:p w14:paraId="13BC102D" w14:textId="1567C31A" w:rsidR="005A2D07" w:rsidRDefault="00E16D03" w:rsidP="000938A3">
      <w:pPr>
        <w:spacing w:line="4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学校课程建设与评价委员会对课程教学质量给予综合评价。教学效果显著的课程，优秀推荐申报南京大学“百”层次优质课程，并给予重点支持；教学效果不佳的课程，</w:t>
      </w:r>
      <w:r w:rsidR="00F4361D">
        <w:rPr>
          <w:rFonts w:ascii="仿宋_GB2312" w:eastAsia="仿宋_GB2312" w:hAnsiTheme="minorEastAsia" w:hint="eastAsia"/>
          <w:sz w:val="28"/>
          <w:szCs w:val="28"/>
        </w:rPr>
        <w:t>须</w:t>
      </w:r>
      <w:r>
        <w:rPr>
          <w:rFonts w:ascii="仿宋_GB2312" w:eastAsia="仿宋_GB2312" w:hAnsiTheme="minorEastAsia" w:hint="eastAsia"/>
          <w:sz w:val="28"/>
          <w:szCs w:val="28"/>
        </w:rPr>
        <w:t>及时改进教学方案；</w:t>
      </w:r>
      <w:r w:rsidR="00F4361D">
        <w:rPr>
          <w:rFonts w:ascii="仿宋_GB2312" w:eastAsia="仿宋_GB2312" w:hAnsiTheme="minorEastAsia" w:hint="eastAsia"/>
          <w:sz w:val="28"/>
          <w:szCs w:val="28"/>
        </w:rPr>
        <w:t>各方评价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连续差评</w:t>
      </w:r>
      <w:r w:rsidR="00F4361D">
        <w:rPr>
          <w:rFonts w:ascii="仿宋_GB2312" w:eastAsia="仿宋_GB2312" w:hAnsiTheme="minorEastAsia" w:hint="eastAsia"/>
          <w:sz w:val="28"/>
          <w:szCs w:val="28"/>
        </w:rPr>
        <w:t>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课程，</w:t>
      </w:r>
      <w:r w:rsidR="00F4361D">
        <w:rPr>
          <w:rFonts w:ascii="仿宋_GB2312" w:eastAsia="仿宋_GB2312" w:hAnsiTheme="minorEastAsia" w:hint="eastAsia"/>
          <w:sz w:val="28"/>
          <w:szCs w:val="28"/>
        </w:rPr>
        <w:t>经课程建设与评价委员会审核后</w:t>
      </w:r>
      <w:r>
        <w:rPr>
          <w:rFonts w:ascii="仿宋_GB2312" w:eastAsia="仿宋_GB2312" w:hAnsiTheme="minorEastAsia" w:hint="eastAsia"/>
          <w:sz w:val="28"/>
          <w:szCs w:val="28"/>
        </w:rPr>
        <w:t>取消立项资格。</w:t>
      </w:r>
    </w:p>
    <w:bookmarkEnd w:id="3"/>
    <w:p w14:paraId="67D64CFB" w14:textId="16874A60" w:rsidR="005A2D07" w:rsidRDefault="005A2D07" w:rsidP="000938A3">
      <w:pPr>
        <w:spacing w:line="4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sectPr w:rsidR="005A2D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07752" w14:textId="77777777" w:rsidR="00FE66DB" w:rsidRDefault="00FE66DB">
      <w:r>
        <w:separator/>
      </w:r>
    </w:p>
  </w:endnote>
  <w:endnote w:type="continuationSeparator" w:id="0">
    <w:p w14:paraId="3F17BBDB" w14:textId="77777777" w:rsidR="00FE66DB" w:rsidRDefault="00FE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904954"/>
      <w:docPartObj>
        <w:docPartGallery w:val="AutoText"/>
      </w:docPartObj>
    </w:sdtPr>
    <w:sdtEndPr/>
    <w:sdtContent>
      <w:p w14:paraId="42F694D3" w14:textId="47A05BAF" w:rsidR="005A2D07" w:rsidRDefault="00E16D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A3" w:rsidRPr="000938A3">
          <w:rPr>
            <w:noProof/>
            <w:lang w:val="zh-CN"/>
          </w:rPr>
          <w:t>3</w:t>
        </w:r>
        <w:r>
          <w:fldChar w:fldCharType="end"/>
        </w:r>
      </w:p>
    </w:sdtContent>
  </w:sdt>
  <w:p w14:paraId="08B84BC8" w14:textId="77777777" w:rsidR="005A2D07" w:rsidRDefault="005A2D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CFE81" w14:textId="77777777" w:rsidR="00FE66DB" w:rsidRDefault="00FE66DB">
      <w:r>
        <w:separator/>
      </w:r>
    </w:p>
  </w:footnote>
  <w:footnote w:type="continuationSeparator" w:id="0">
    <w:p w14:paraId="3BE90AFF" w14:textId="77777777" w:rsidR="00FE66DB" w:rsidRDefault="00FE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B"/>
    <w:rsid w:val="000165E5"/>
    <w:rsid w:val="00044F81"/>
    <w:rsid w:val="000529C8"/>
    <w:rsid w:val="000576AA"/>
    <w:rsid w:val="000601C3"/>
    <w:rsid w:val="00085970"/>
    <w:rsid w:val="000938A3"/>
    <w:rsid w:val="000A1AB0"/>
    <w:rsid w:val="000D324F"/>
    <w:rsid w:val="00146C3A"/>
    <w:rsid w:val="001475E8"/>
    <w:rsid w:val="00196B85"/>
    <w:rsid w:val="001B5381"/>
    <w:rsid w:val="00204E14"/>
    <w:rsid w:val="00213216"/>
    <w:rsid w:val="0022445E"/>
    <w:rsid w:val="002464D5"/>
    <w:rsid w:val="002739D1"/>
    <w:rsid w:val="0027607B"/>
    <w:rsid w:val="002945DB"/>
    <w:rsid w:val="002A223D"/>
    <w:rsid w:val="002C2CD3"/>
    <w:rsid w:val="002C3AE5"/>
    <w:rsid w:val="002D280F"/>
    <w:rsid w:val="002D67E6"/>
    <w:rsid w:val="002F36ED"/>
    <w:rsid w:val="00305AB4"/>
    <w:rsid w:val="0034784F"/>
    <w:rsid w:val="00350891"/>
    <w:rsid w:val="003524C9"/>
    <w:rsid w:val="00363A49"/>
    <w:rsid w:val="00380778"/>
    <w:rsid w:val="003A51B5"/>
    <w:rsid w:val="003E0B59"/>
    <w:rsid w:val="003F2EB5"/>
    <w:rsid w:val="004002F5"/>
    <w:rsid w:val="00413FA6"/>
    <w:rsid w:val="0042231B"/>
    <w:rsid w:val="00432966"/>
    <w:rsid w:val="00473E6F"/>
    <w:rsid w:val="0048267D"/>
    <w:rsid w:val="004A5984"/>
    <w:rsid w:val="004D04EC"/>
    <w:rsid w:val="004D662B"/>
    <w:rsid w:val="00557F77"/>
    <w:rsid w:val="00590EA2"/>
    <w:rsid w:val="005A2D07"/>
    <w:rsid w:val="005C08B4"/>
    <w:rsid w:val="006106DB"/>
    <w:rsid w:val="00750B1A"/>
    <w:rsid w:val="00754CD8"/>
    <w:rsid w:val="00784FF8"/>
    <w:rsid w:val="007A4AD8"/>
    <w:rsid w:val="007B4B6A"/>
    <w:rsid w:val="007F563E"/>
    <w:rsid w:val="00813592"/>
    <w:rsid w:val="00825D92"/>
    <w:rsid w:val="00835330"/>
    <w:rsid w:val="00882C2A"/>
    <w:rsid w:val="00895E31"/>
    <w:rsid w:val="008B2E93"/>
    <w:rsid w:val="008C7AD8"/>
    <w:rsid w:val="008F0232"/>
    <w:rsid w:val="00911856"/>
    <w:rsid w:val="00951F65"/>
    <w:rsid w:val="009619EB"/>
    <w:rsid w:val="00971A5C"/>
    <w:rsid w:val="00A22DF5"/>
    <w:rsid w:val="00A4153E"/>
    <w:rsid w:val="00B2178D"/>
    <w:rsid w:val="00B23189"/>
    <w:rsid w:val="00B63B13"/>
    <w:rsid w:val="00C05F9B"/>
    <w:rsid w:val="00C20B0B"/>
    <w:rsid w:val="00C41D79"/>
    <w:rsid w:val="00C5428E"/>
    <w:rsid w:val="00C60A2A"/>
    <w:rsid w:val="00C646A1"/>
    <w:rsid w:val="00CC3D59"/>
    <w:rsid w:val="00CE4D5C"/>
    <w:rsid w:val="00D154AE"/>
    <w:rsid w:val="00D37AB5"/>
    <w:rsid w:val="00D966DA"/>
    <w:rsid w:val="00DB5087"/>
    <w:rsid w:val="00DE2910"/>
    <w:rsid w:val="00E16776"/>
    <w:rsid w:val="00E16D03"/>
    <w:rsid w:val="00E234B9"/>
    <w:rsid w:val="00E81BE6"/>
    <w:rsid w:val="00EB1157"/>
    <w:rsid w:val="00EC241B"/>
    <w:rsid w:val="00EE3B46"/>
    <w:rsid w:val="00F17034"/>
    <w:rsid w:val="00F4361D"/>
    <w:rsid w:val="00F45A64"/>
    <w:rsid w:val="00F64065"/>
    <w:rsid w:val="00F8643D"/>
    <w:rsid w:val="00FE2313"/>
    <w:rsid w:val="00FE66DB"/>
    <w:rsid w:val="00FF644F"/>
    <w:rsid w:val="17E75DDD"/>
    <w:rsid w:val="2E1A55CC"/>
    <w:rsid w:val="46140DB6"/>
    <w:rsid w:val="49EA2418"/>
    <w:rsid w:val="7495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BC4DE"/>
  <w15:docId w15:val="{DADF5669-9745-4B17-9D23-C0DCA8B8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qFormat/>
    <w:pPr>
      <w:spacing w:after="12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 字符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3F2EB5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F2E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1271</Characters>
  <Application>Microsoft Office Word</Application>
  <DocSecurity>0</DocSecurity>
  <Lines>10</Lines>
  <Paragraphs>2</Paragraphs>
  <ScaleCrop>false</ScaleCrop>
  <Company>微软中国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10</cp:revision>
  <dcterms:created xsi:type="dcterms:W3CDTF">2021-05-29T04:36:00Z</dcterms:created>
  <dcterms:modified xsi:type="dcterms:W3CDTF">2021-06-03T04:11:00Z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5F0A4B9E682044AC880AF0F7D5BF7BC9</vt:lpwstr>
  </property>
</Properties>
</file>